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8" w:rsidRPr="001B33B8" w:rsidRDefault="001B33B8" w:rsidP="001B33B8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sz w:val="24"/>
          <w:szCs w:val="24"/>
          <w:lang w:val="uk-UA"/>
        </w:rPr>
      </w:pPr>
      <w:r w:rsidRPr="001B33B8">
        <w:rPr>
          <w:rFonts w:ascii="Times New Roman" w:hAnsi="Times New Roman"/>
          <w:sz w:val="24"/>
          <w:szCs w:val="24"/>
          <w:lang w:val="uk-UA"/>
        </w:rPr>
        <w:t>2. Детермінанти інноваційного розвитку національної економіки.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33B8" w:rsidRPr="001B33B8" w:rsidRDefault="001B33B8" w:rsidP="001B33B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B33B8">
        <w:rPr>
          <w:rFonts w:ascii="Times New Roman" w:hAnsi="Times New Roman" w:cs="Times New Roman"/>
          <w:b/>
          <w:sz w:val="24"/>
          <w:szCs w:val="24"/>
          <w:lang w:val="uk-UA"/>
        </w:rPr>
        <w:t>Шатирко</w:t>
      </w:r>
      <w:proofErr w:type="spellEnd"/>
      <w:r w:rsidRPr="001B33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Д.В.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, аспірант,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b/>
          <w:sz w:val="24"/>
          <w:szCs w:val="24"/>
          <w:lang w:val="uk-UA"/>
        </w:rPr>
        <w:t>Савченко В.Ф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.,д.е.н., професор, засл. економіст України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Чернігівський національний технологічний університет (м. Чернігів, Україна)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e-mail: deivion4ik@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mail.ru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33B8" w:rsidRPr="001B33B8" w:rsidRDefault="001B33B8" w:rsidP="001B33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1B33B8">
        <w:rPr>
          <w:rFonts w:ascii="Times New Roman" w:hAnsi="Times New Roman" w:cs="Times New Roman"/>
          <w:b/>
          <w:sz w:val="24"/>
          <w:szCs w:val="24"/>
          <w:lang w:val="uk-UA"/>
        </w:rPr>
        <w:t>Адаптація світового досвіду венчурного інвестування до реалій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економіки</w:t>
      </w:r>
    </w:p>
    <w:bookmarkEnd w:id="0"/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Для успішного розвитку економіки інноваційного типу необхідний компле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ксний підхід з боку держави, в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основі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лежить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побудова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ефективної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системи.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Одними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важливих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елементів національної інноваційної системи стають венчурні фонди і венчурна діяльність в цілому, які в розвинених країнах здійснили значний вплив на створення і розвиток малих високотехнологічних підприємств, активізацію інноваційної діяльності,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вирішення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проблем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конкурентоспроможності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економіки.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Аналіз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іноземного досвіду 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розробка важелів та інструментів, спрямованих на підтримку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венчурної діяльності, є важливою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умовою подолання бар'єрів, що перешкоджають інноваційному розвитку економіки в цілому.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Венчурний бізнес являє собою специфічний сектор економіки, що функціону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є і розвивається за особливими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закономірностями: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практична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спрямованість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розробок,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оперативного впровадження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виробництво,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різноманіття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джерел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зовнішнього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фінансування.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Основними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критеріями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відбору венчурних проектів, цікавих для інвесторів, є унікальність і новизна проекту, необхідність продукту на внутрішньому та/або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зовнішньому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ринках,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захищених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інтелектуальної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власності,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і початку виробництва в строк не більше 3-х років, можливість виходу з проекту (продаж частки фонду в інноваційній організації) через кілька років.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Для розвитку венчурного бізнесу в будь-якій країні, необхідні наступні умови: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1) сприятлива економічна ситуація;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сприятливі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законодавчі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податкові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умови,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спрямовані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всіляке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заохочення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малої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підприємницької діяльності;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3) затребуваність інновацій промисловістю і покупцями нових технологій, продуктів і послуг;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4) розвинені банківська система і система венчурних фондів;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5)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наявність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капіталістів,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готових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бажаючих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вкладати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ризикові,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ранні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стадії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науково-технічних проектів; </w:t>
      </w:r>
    </w:p>
    <w:p w:rsidR="00F24EF4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6) досить високий рівень наукового потенціалу в країні (наявність нових ідей, нових технологій, ноу-хау).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Венчурне інвестування є механізмом, від якого виграють всі: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- підприємці -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інноватори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отримують фінансування своїх розробок; </w:t>
      </w:r>
    </w:p>
    <w:p w:rsidR="001B33B8" w:rsidRPr="001B33B8" w:rsidRDefault="001B33B8" w:rsidP="001B33B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інвестори досягають високих прибутків за рахунок зростання капіталізації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профінаесованих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компаній;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- держава виграє від зростання податкових надходжень і створення нових робочих місць;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- економіка в цілому отримує можливість швидкого впровадження нових технологій.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Венчурний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капітал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відіграє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найбільш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важливу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роль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комерціалізації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компаній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ранніх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стадіях,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доповнення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державними грантами тільки збільшує шанси 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успіх. Держава використовує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різноманітні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важелі та інструменти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венчурних інвестицій.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Це питання актуальне і для підприємств, що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знаходяться на інших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стадіях розвитку.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Одна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найрозвиненіших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індустрій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капіталу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знаходиться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США,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орієнтована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нові технології і включає різні типи інвесторів, такі як пенсійні фонди, страхові компанії і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приватні особи. Більш молодою, але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менш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розвиненою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європейська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індустрія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капіталу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(насамперед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Великобританія,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Нідерланди,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Франція,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Німеччина),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яка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орієнтована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основні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сектори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ринку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домінують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банки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(особливо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Німеччині). Японські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фірми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капіталу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основному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дочірніми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фірмами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фінансових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інститутів,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здійснюють інвестиції в надійні фірми і в основному у формі кредитів.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Серед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причин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бурхливого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індустрії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США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відзначити,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насамперед,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високу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розвиненість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фондових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ринків.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Крім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американських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підприємств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сприяє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наявність потужного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національного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платоспроможного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ринку,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закріплення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якому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найчастіше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означає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перемогу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 міжнародній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конкуренції.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менш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важливим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той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факт,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американські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університети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отримують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великі асигнування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приватного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секторів.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високо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мобільні,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орієнтовані на конкуренцію та зацікавлені в комерціалізації своїх наукових розробок. Венчурні фонди Голландії та Франції черпають інвестиційний капітал головним чином у великих банках і страхових компаніях, Великобританії – у пенсійних фондах, на які припадає близько третини всіх фінансових вливань.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грантів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виявитися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успішними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наявності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додаткової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більш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пізніх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етапах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розвитку.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здатні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ефективніше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комерціалізувати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НДДКР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використанням відповідних інструментів державної підтримки. У країнах з розвиненими ринками венчурного капіталу, наприклад у США, Ізраїлі, Австралії, Канаді та інших, існують програми державної підтримки для всіх стадій циклу інноваційного розвитку: від грантів до заходів підтримки венчурних інвестицій. Наприклад, в Австралії є програма R&amp;D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надання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грантів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малому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середньому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бізнесу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комерціалізацію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доповнює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по стимулюванню інвестицій венчурних фондів у інноваційний малий і середній бізнес.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Незважаючи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переваги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фінансування,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країнах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середнім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рівнем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доходу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великі транснаціональні корпоративні інвестори, такі як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General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Electric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Siemens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>, IBM, здатні навіть більшою мірою, ніж венчурні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інвестори,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Транснаціональні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корпорації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зазвичай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виступають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співінвестори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створенні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місцевих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приватно-державних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фондів,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числі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проектів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у секторах економіки, де корпорації зацікавлені в появі нових технологічних компаній, здатних зміцнити їх власний бізнес. Галузь корпоративного венчурного капіталу є важливим гравцем на венчурному ринку. Вона відіграє значну роль у розвитку як локальної, так і глобальної економіки інновацій.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Успіх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індустрії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місцевому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національному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рівнях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залежить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досвіду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управлінських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команд фондів. Згідно зі статистикою OECD, успіх найбільш відомих венчурних фондів визначається наступними факторами [1]: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1. Досвід здійснення інвестицій. Менеджери венчурних фондів повинні вол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одіти управлінським досвідом і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добре знати ринок, щоб впливати на управлінські рішення портфельних компаній і забезпечувати їх успіх. Венчурні аналітики мають вузьку спеціалізацію, їх відрізняє глибоке розуміння нових технологій і своїх ринків.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2. Управління ризиками. Необхідно визначитися з профілем ризику фонду в залежності від його бізнес-стратегії. Прикладом можливої стратегії є диверсифікація портфеля компаній таким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чином, щоб високі прибутки від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успішних інвестицій компенсували можливі втрати на інших проектах (перехресне субсидування).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Черга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проектів.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Одним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важливих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критеріїв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доступ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фондів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якісних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проектів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перспективних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компаній, які переходять на нову стадію розвитку, технологічних або інноваційних проектів.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Не всі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 перелічених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інструментів можуть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працювати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– їх ефективність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залежить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 розвитку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місцевої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економічної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системи.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Фінансовані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керовані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державою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зокрема,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повинні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точно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відповідати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потребам конкретної країни та бізнес-середовища.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Зазвичай державні службовці не мають великого досвіду у сфері венчурних ін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вестицій і технологій, а також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готовністю приймати ризиковані рішення, необхідні для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підтримки інноваційного процесу на етапі комерціалізації. Крім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того,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керовані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структурами,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працюють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успішними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компаніями,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відбирають найменш ризиковані проекти і в основному інвестують в невеликі компанії на більш пізніх стадіях. Слід зазначити, що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повинні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орієнтовані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бізнесу.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запорукою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успіху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участь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них приватного сектора.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ряд ринків (наприклад Ізраїль, КНР, США і Тайвань), на яких державам вдалося створити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успішну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інфраструктуру підтримки венчурної галузі [2].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Дана підтримка призвела до розвитку приватних венчурних інвестицій у ци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х країнах. Таким чином держава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відіграла важливу роль у розвитку місцевої венчурної економічної системи. По суті вона надала "стартовий капітал", необхідний для становлення венчурного ринку, шляхом інвестування у приватні фонди. Держава розділяє ризики інвестування в технологічно орієнтовані новостворені проекти (малий та середній бізнес), а венчурні фонди діляться своїм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комерційним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управлінським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досвідом.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форма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взаємодії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дозволяє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фондам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відмовитися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від державної підтримки якщо їх не влаштовують умови її надання [3]. Найбільш поширеними інструментами підтримки венчурних фондів є: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1. Пряме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>. Уряд забезпечує приватним фондам ліквідність, виступає в якості пе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рвинного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інвестора і стимулює залучення інших потенційних інвесторів (приклад – програма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Yozma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). Ця модель працює тільки при наявності досвідчених LP-інвесторів та зручних форм юридичного оформлення відносин.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2. Субсидування прибутку.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Держава діє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 якості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покупця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звичайних акцій або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надає гранти, виступаючи </w:t>
      </w:r>
      <w:proofErr w:type="spellStart"/>
      <w:r w:rsidRPr="001B33B8">
        <w:rPr>
          <w:rFonts w:ascii="Times New Roman" w:hAnsi="Times New Roman" w:cs="Times New Roman"/>
          <w:sz w:val="24"/>
          <w:szCs w:val="24"/>
          <w:lang w:val="uk-UA"/>
        </w:rPr>
        <w:t>співінвестором</w:t>
      </w:r>
      <w:proofErr w:type="spellEnd"/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поряд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приватними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інвесторами.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Однак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цьому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претендує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лише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невелику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частку прибутку,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таким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чином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збільшуючи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привабливість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інвестування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приватного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капіталу.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Наприклад,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рамках австралійської програми "Інновації, інвестиційний фонд" (IIF) держава надає венчурним фондам до 2/3 капіталу, але </w:t>
      </w:r>
    </w:p>
    <w:p w:rsidR="001B33B8" w:rsidRPr="001B33B8" w:rsidRDefault="001B33B8" w:rsidP="001B3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претендує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лише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10%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прибутку.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Решта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90%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розподіляються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між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приватними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інвесторами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управлінською командою фонду. В обмін на участь в програмі фонди повинні інвестувати частину своїх коштів у малий і середній бізнес,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компанії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ранніх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стадіях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розвитку,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включаючи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новостворені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проекти.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Аналогічні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заходи використовуються і в інших країнах – наприклад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 США є програма для малого бізнесу "Інвестиційна компанія" (SBIR).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Доцільно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зазначити,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такі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успішні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тільки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країнах,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можливість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отримання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високої прибутковості на вкладений капітал.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3. Надання гарантій. У країнах з розвиненою економікою, де є змога досит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ь точно робити оцінку ризиків,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існують моделі відшкодування збитків. Вони успішно використовуються для стимулювання інвестицій у венчурні фонди. Держава значно знижує ступінь ризику збитків, компенсуючи певну їх частину інвесторам. В деяких випадках вона захищає інвесторів від великих збитків, граючи при цьому другорядну роль у розподілі прибутків фонду.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Важливе значення мають загальні підходи щодо побудови державної політики в обла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сті створення інституту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венчурного фінансування: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стратегічні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цілі,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пов'язані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фінансуванням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реалістичні,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повинні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брати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уваги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переважаючі умови стосовно стадій циклу фінансування інноваційних розробок і враховувати зв'язки між різними факторами попиту та пропозиції;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стратегічні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цілі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повинні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бути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конкретними: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вказувати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типи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отримають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підтримку – інноваційні, новостворені, на стадії зростання, успішні і т.п. Кожен тип підприємств передбачає різні перспективи залучення приватних інвесторів;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в) вивчення досвіду інших країн, створення та реалізація програм за прик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ладом успішно здійснених в цих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країнах залежать від того, наскільки чітко інвестори розуміють, в чому полягали дії, використані в минулому, і в чому полягає історична спадщина інноваційних можливостей розвитку ринку;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державні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показують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найкращі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результати,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коли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допоміжним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елементом,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сприяючим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ринковим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механізмам,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пов'язаним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фінансуванням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інноваційних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розробок.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Урядам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вдається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краще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формувати середовище, в рамках якого приватні інвестори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приймають рішення, за допомогою надання відповідних стимулів, ніж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приймати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самим.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пряме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інвестування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бюджетних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коштів,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приймаються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урядами, повинні здійснюватися децентралізовано із залученням установ, тісно пов'язаних із об'єктами інвестицій, і переважно щодо проектів на ранній стадії розвитку.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33B8">
        <w:rPr>
          <w:rFonts w:ascii="Times New Roman" w:hAnsi="Times New Roman" w:cs="Times New Roman"/>
          <w:sz w:val="24"/>
          <w:szCs w:val="24"/>
          <w:lang w:val="uk-UA"/>
        </w:rPr>
        <w:t>Можемо констатувати, що держава відіграє певну роль у процесі венчурного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інвестування в залежності від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моделі, використовуючи ті методи та важелі, які можуть дати найбільш ефективну підтримку венчурній діяльності на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кожному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етапі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розвитку.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узагальнити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висновки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впровадження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венчурного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>інвестування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4"/>
          <w:szCs w:val="24"/>
          <w:lang w:val="uk-UA"/>
        </w:rPr>
        <w:t xml:space="preserve">в американській та європейській моделях розвитку венчурної діяльності, оцінити можливість їх запровадження в нашій державі та розробити власну українську модель з урахуванням досвіду розвинутих країн.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33B8" w:rsidRPr="001B33B8" w:rsidRDefault="001B33B8" w:rsidP="001B33B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1B33B8">
        <w:rPr>
          <w:rFonts w:ascii="Times New Roman" w:hAnsi="Times New Roman" w:cs="Times New Roman"/>
          <w:b/>
          <w:sz w:val="20"/>
          <w:szCs w:val="24"/>
          <w:lang w:val="uk-UA"/>
        </w:rPr>
        <w:t>Список використаних джерел: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4"/>
          <w:lang w:val="uk-UA"/>
        </w:rPr>
      </w:pP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1B33B8">
        <w:rPr>
          <w:rFonts w:ascii="Times New Roman" w:hAnsi="Times New Roman" w:cs="Times New Roman"/>
          <w:sz w:val="20"/>
          <w:szCs w:val="24"/>
          <w:lang w:val="uk-UA"/>
        </w:rPr>
        <w:t>1.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Офіційний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сайт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Організації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економічного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співробітництва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та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розвитку,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OECD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–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proofErr w:type="spellStart"/>
      <w:r w:rsidRPr="001B33B8">
        <w:rPr>
          <w:rFonts w:ascii="Times New Roman" w:hAnsi="Times New Roman" w:cs="Times New Roman"/>
          <w:sz w:val="20"/>
          <w:szCs w:val="24"/>
          <w:lang w:val="uk-UA"/>
        </w:rPr>
        <w:t>Organisation</w:t>
      </w:r>
      <w:proofErr w:type="spellEnd"/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proofErr w:type="spellStart"/>
      <w:r w:rsidRPr="001B33B8">
        <w:rPr>
          <w:rFonts w:ascii="Times New Roman" w:hAnsi="Times New Roman" w:cs="Times New Roman"/>
          <w:sz w:val="20"/>
          <w:szCs w:val="24"/>
          <w:lang w:val="uk-UA"/>
        </w:rPr>
        <w:t>for</w:t>
      </w:r>
      <w:proofErr w:type="spellEnd"/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proofErr w:type="spellStart"/>
      <w:r w:rsidRPr="001B33B8">
        <w:rPr>
          <w:rFonts w:ascii="Times New Roman" w:hAnsi="Times New Roman" w:cs="Times New Roman"/>
          <w:sz w:val="20"/>
          <w:szCs w:val="24"/>
          <w:lang w:val="uk-UA"/>
        </w:rPr>
        <w:t>Economic</w:t>
      </w:r>
      <w:proofErr w:type="spellEnd"/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Co-</w:t>
      </w:r>
      <w:proofErr w:type="spellStart"/>
      <w:r w:rsidRPr="001B33B8">
        <w:rPr>
          <w:rFonts w:ascii="Times New Roman" w:hAnsi="Times New Roman" w:cs="Times New Roman"/>
          <w:sz w:val="20"/>
          <w:szCs w:val="24"/>
          <w:lang w:val="uk-UA"/>
        </w:rPr>
        <w:t>operation</w:t>
      </w:r>
      <w:proofErr w:type="spellEnd"/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proofErr w:type="spellStart"/>
      <w:r w:rsidRPr="001B33B8">
        <w:rPr>
          <w:rFonts w:ascii="Times New Roman" w:hAnsi="Times New Roman" w:cs="Times New Roman"/>
          <w:sz w:val="20"/>
          <w:szCs w:val="24"/>
          <w:lang w:val="uk-UA"/>
        </w:rPr>
        <w:t>and</w:t>
      </w:r>
      <w:proofErr w:type="spellEnd"/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proofErr w:type="spellStart"/>
      <w:r w:rsidRPr="001B33B8">
        <w:rPr>
          <w:rFonts w:ascii="Times New Roman" w:hAnsi="Times New Roman" w:cs="Times New Roman"/>
          <w:sz w:val="20"/>
          <w:szCs w:val="24"/>
          <w:lang w:val="uk-UA"/>
        </w:rPr>
        <w:t>Development</w:t>
      </w:r>
      <w:proofErr w:type="spellEnd"/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[Електронний ресурс] – Режим доступу: http://www.oecd.org/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1B33B8">
        <w:rPr>
          <w:rFonts w:ascii="Times New Roman" w:hAnsi="Times New Roman" w:cs="Times New Roman"/>
          <w:sz w:val="20"/>
          <w:szCs w:val="24"/>
          <w:lang w:val="uk-UA"/>
        </w:rPr>
        <w:t>2. Лобас І.В. Зарубіжний досвід державної підтримки венчурного інвестування інноваційної діяльності [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Електронний ресурс] / І. Лобас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//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Вісник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Національної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академії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державного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управління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при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Президентові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України.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–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2012.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–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Вип.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1.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–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С.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196-203.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-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Режим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доступу: http://nbuv.gov.ua/j-pdf/Vnadu_2012_1_24.pdf </w:t>
      </w:r>
    </w:p>
    <w:p w:rsidR="001B33B8" w:rsidRPr="001B33B8" w:rsidRDefault="001B33B8" w:rsidP="001B33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3. Зикіна В.О. Формування інноваційної діяльності венчурного капіталу // Академічний огляд. – 2011. –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 xml:space="preserve">№1(34). – С.44-48.[Електронний </w:t>
      </w:r>
      <w:r w:rsidRPr="001B33B8">
        <w:rPr>
          <w:rFonts w:ascii="Times New Roman" w:hAnsi="Times New Roman" w:cs="Times New Roman"/>
          <w:sz w:val="20"/>
          <w:szCs w:val="24"/>
          <w:lang w:val="uk-UA"/>
        </w:rPr>
        <w:t>ресурс]. – Режим доступу: http://www.nbuv.gov.ua/portal/Soc_Gum/ao/ 2011_1/7.pdf</w:t>
      </w:r>
    </w:p>
    <w:sectPr w:rsidR="001B33B8" w:rsidRPr="001B33B8" w:rsidSect="001B33B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8"/>
    <w:rsid w:val="001B33B8"/>
    <w:rsid w:val="00F2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1950</Words>
  <Characters>11118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2016-05-31T15:29:00Z</dcterms:created>
  <dcterms:modified xsi:type="dcterms:W3CDTF">2016-05-31T15:40:00Z</dcterms:modified>
</cp:coreProperties>
</file>