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10" w:rsidRPr="00842E60" w:rsidRDefault="00FC3510" w:rsidP="00FC3510">
      <w:pPr>
        <w:pStyle w:val="22"/>
        <w:spacing w:after="0" w:line="240" w:lineRule="auto"/>
        <w:ind w:left="0" w:firstLine="567"/>
        <w:jc w:val="both"/>
        <w:rPr>
          <w:lang w:val="az-Cyrl-AZ"/>
        </w:rPr>
      </w:pPr>
      <w:r w:rsidRPr="00842E60">
        <w:rPr>
          <w:lang w:val="az-Cyrl-AZ"/>
        </w:rPr>
        <w:t>6. Соціо-гуманітарні, історико-культурні та правові аспекти розвитку су</w:t>
      </w:r>
      <w:r w:rsidR="00595B23">
        <w:rPr>
          <w:lang w:val="az-Cyrl-AZ"/>
        </w:rPr>
        <w:t>спільства в умовах глобалізації</w:t>
      </w:r>
    </w:p>
    <w:p w:rsidR="00FC3510" w:rsidRPr="00842E60" w:rsidRDefault="00FC3510" w:rsidP="00FC351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az-Cyrl-AZ"/>
        </w:rPr>
      </w:pPr>
    </w:p>
    <w:p w:rsidR="00FC3510" w:rsidRPr="00842E60" w:rsidRDefault="00FC3510" w:rsidP="00FC3510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az-Cyrl-AZ"/>
        </w:rPr>
      </w:pPr>
      <w:r w:rsidRPr="00842E60">
        <w:rPr>
          <w:rFonts w:ascii="Times New Roman" w:hAnsi="Times New Roman"/>
          <w:b/>
          <w:sz w:val="24"/>
          <w:szCs w:val="24"/>
          <w:lang w:val="az-Cyrl-AZ"/>
        </w:rPr>
        <w:t xml:space="preserve">Козинець І.Г., </w:t>
      </w:r>
      <w:r w:rsidRPr="00842E60">
        <w:rPr>
          <w:rFonts w:ascii="Times New Roman" w:hAnsi="Times New Roman"/>
          <w:sz w:val="24"/>
          <w:szCs w:val="24"/>
          <w:lang w:val="az-Cyrl-AZ"/>
        </w:rPr>
        <w:t>ст.викладач кафедри</w:t>
      </w:r>
    </w:p>
    <w:p w:rsidR="00FC3510" w:rsidRPr="00842E60" w:rsidRDefault="00FC3510" w:rsidP="00FC3510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az-Cyrl-AZ"/>
        </w:rPr>
      </w:pPr>
      <w:r w:rsidRPr="00842E60">
        <w:rPr>
          <w:rFonts w:ascii="Times New Roman" w:hAnsi="Times New Roman"/>
          <w:sz w:val="24"/>
          <w:szCs w:val="24"/>
          <w:lang w:val="az-Cyrl-AZ"/>
        </w:rPr>
        <w:t>цивільного, господарського права та процесу</w:t>
      </w:r>
    </w:p>
    <w:p w:rsidR="00FC3510" w:rsidRPr="00842E60" w:rsidRDefault="00FC3510" w:rsidP="00FC3510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az-Cyrl-AZ"/>
        </w:rPr>
      </w:pPr>
      <w:r w:rsidRPr="00842E60">
        <w:rPr>
          <w:rFonts w:ascii="Times New Roman" w:hAnsi="Times New Roman"/>
          <w:b/>
          <w:sz w:val="24"/>
          <w:szCs w:val="24"/>
          <w:lang w:val="az-Cyrl-AZ"/>
        </w:rPr>
        <w:t xml:space="preserve">Біжовець Ю.С., </w:t>
      </w:r>
      <w:r w:rsidRPr="00842E60">
        <w:rPr>
          <w:rFonts w:ascii="Times New Roman" w:hAnsi="Times New Roman"/>
          <w:sz w:val="24"/>
          <w:szCs w:val="24"/>
          <w:lang w:val="az-Cyrl-AZ"/>
        </w:rPr>
        <w:t>студентка4 курсу,</w:t>
      </w:r>
    </w:p>
    <w:p w:rsidR="00FC3510" w:rsidRPr="00842E60" w:rsidRDefault="00FC3510" w:rsidP="00FC3510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az-Cyrl-AZ"/>
        </w:rPr>
      </w:pPr>
      <w:r w:rsidRPr="00842E60">
        <w:rPr>
          <w:rFonts w:ascii="Times New Roman" w:hAnsi="Times New Roman"/>
          <w:sz w:val="24"/>
          <w:szCs w:val="24"/>
          <w:lang w:val="az-Cyrl-AZ"/>
        </w:rPr>
        <w:t>група СР – 132, факультет соціальної роботи</w:t>
      </w:r>
    </w:p>
    <w:p w:rsidR="00FC3510" w:rsidRPr="00842E60" w:rsidRDefault="00FC3510" w:rsidP="00FC3510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az-Cyrl-AZ"/>
        </w:rPr>
      </w:pPr>
      <w:r w:rsidRPr="00842E60">
        <w:rPr>
          <w:rFonts w:ascii="Times New Roman" w:hAnsi="Times New Roman"/>
          <w:sz w:val="24"/>
          <w:szCs w:val="24"/>
          <w:lang w:val="az-Cyrl-AZ"/>
        </w:rPr>
        <w:t>Навчально-науковий інститут права та соціальних технологій</w:t>
      </w:r>
    </w:p>
    <w:p w:rsidR="00FC3510" w:rsidRPr="00842E60" w:rsidRDefault="00FC3510" w:rsidP="00FC3510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az-Cyrl-AZ"/>
        </w:rPr>
      </w:pPr>
      <w:r w:rsidRPr="00842E60">
        <w:rPr>
          <w:rFonts w:ascii="Times New Roman" w:hAnsi="Times New Roman"/>
          <w:sz w:val="24"/>
          <w:szCs w:val="24"/>
          <w:lang w:val="az-Cyrl-AZ"/>
        </w:rPr>
        <w:t>Чернігівський національний технологічний університет</w:t>
      </w:r>
    </w:p>
    <w:p w:rsidR="00FC3510" w:rsidRPr="00842E60" w:rsidRDefault="00FC3510" w:rsidP="00FC3510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/>
          <w:lang w:val="az-Cyrl-AZ"/>
        </w:rPr>
      </w:pPr>
      <w:r w:rsidRPr="00842E60">
        <w:rPr>
          <w:rFonts w:ascii="Times New Roman" w:hAnsi="Times New Roman"/>
          <w:sz w:val="24"/>
          <w:szCs w:val="24"/>
          <w:lang w:val="az-Cyrl-AZ"/>
        </w:rPr>
        <w:t>e-mail:</w:t>
      </w:r>
      <w:hyperlink r:id="rId6" w:history="1">
        <w:r w:rsidRPr="00842E6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az-Cyrl-AZ"/>
          </w:rPr>
          <w:t>laws.inst.411@ukr.net</w:t>
        </w:r>
      </w:hyperlink>
    </w:p>
    <w:p w:rsidR="00FC3510" w:rsidRPr="00842E60" w:rsidRDefault="00FC3510" w:rsidP="0004760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lang w:val="uk-UA"/>
        </w:rPr>
      </w:pPr>
    </w:p>
    <w:p w:rsidR="00047602" w:rsidRPr="00842E60" w:rsidRDefault="00047602" w:rsidP="0004760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lang w:val="uk-UA"/>
        </w:rPr>
      </w:pPr>
      <w:r w:rsidRPr="00842E60">
        <w:rPr>
          <w:b/>
          <w:lang w:val="uk-UA"/>
        </w:rPr>
        <w:t>СУЧАСНІ ТЕНДЕЦІЇ РОЗВИТКУ ПОДАТКОВИХ СИСТЕМ УКРАЇНИ ТА КРАЇН ЄС</w:t>
      </w:r>
    </w:p>
    <w:p w:rsidR="00047602" w:rsidRPr="00842E60" w:rsidRDefault="00047602" w:rsidP="000476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Одним із найважливіших питань сьогодення є розбудова податкової системи, яка повинна сприяти економічному розвитку держави та забезпечувати зростання добробуту громадян. Кожна країна іде різними економічними шляхами, має свої особливості в динаміці розвитку економіки, що впливає і на розвиток окремих складових загальної економічної системи, в тому числі на податкову систему держави, яка повинна постійно пристосовуватись до змін у суспільстві.</w:t>
      </w:r>
    </w:p>
    <w:p w:rsidR="00047602" w:rsidRPr="00842E60" w:rsidRDefault="00047602" w:rsidP="000476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У різних країнах світу податкові системи відрізняються за типом побудови, кількістю податків, ставками податкових платежів, методикою їхнього розрахунку, видом стягнення тощо. Але всі вони базуються на загальних принципах, чим і пояснюється тенденція поглиблення співпраці у зазначених сферах. Проведення ефективної податкової політики в Україні неможливе без вивчення особливостей податкових систем інших країн та ретельного їх аналізу. Тому постає необхідність побудови такої податкової системи, яка була б найефективнішою, тобто враховувала усі позитивні ознаки податкових систем інших країн світу, та пристосованою до наших умов.</w:t>
      </w:r>
    </w:p>
    <w:p w:rsidR="00047602" w:rsidRPr="00842E60" w:rsidRDefault="00047602" w:rsidP="000476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 xml:space="preserve">Вивченню питань, що стосуються формування ефективних податкових систем, а також можливих шляхів їх вдосконалення, присвячені численні дослідження вітчизняних та закордонних науковців, зокрема І. Барановського, В.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Буряковського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, А. Вагнера, Ю. Іванова, І. Лютого, Т. Єфименко, В.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Корнуса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, О.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Погорлецького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та інших.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42E6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 сучасних умовах порівняння української податкової системи з її аналогами в країнах-членах ЄС потрібно для визначення конкурентоспроможності нашої країни на світовому ринку товарів і інвестицій та вибору головних векторів реформування податкових відносин.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pacing w:val="2"/>
          <w:sz w:val="24"/>
          <w:szCs w:val="24"/>
          <w:lang w:val="uk-UA"/>
        </w:rPr>
        <w:t xml:space="preserve">Формування власної податкової системи в Україні розпочалося відразу ж </w:t>
      </w:r>
      <w:r w:rsidRPr="00842E60">
        <w:rPr>
          <w:rFonts w:ascii="Times New Roman" w:hAnsi="Times New Roman"/>
          <w:spacing w:val="3"/>
          <w:sz w:val="24"/>
          <w:szCs w:val="24"/>
          <w:lang w:val="uk-UA"/>
        </w:rPr>
        <w:t xml:space="preserve">після проголошення незалежності та продовжується до цього часу. </w:t>
      </w:r>
      <w:r w:rsidRPr="00842E60">
        <w:rPr>
          <w:rStyle w:val="20"/>
          <w:rFonts w:ascii="Times New Roman" w:hAnsi="Times New Roman"/>
          <w:color w:val="000000"/>
          <w:sz w:val="24"/>
          <w:szCs w:val="24"/>
          <w:lang w:val="uk-UA" w:eastAsia="uk-UA"/>
        </w:rPr>
        <w:t>В основу розвитку системи закладені засади пошуку оптимальних форм та методів оподаткування. Нажаль, на протязі всього етапу свого становлення податкова система не відрізнялась стабільністю. Зокрема, лише у Закон «Про податок на додану вартість» з часу його запровадження було внесено близько 114 змін різними законодавчими та підзаконними актами.</w:t>
      </w:r>
    </w:p>
    <w:p w:rsidR="00047602" w:rsidRPr="00842E60" w:rsidRDefault="00047602" w:rsidP="00047602">
      <w:pPr>
        <w:pStyle w:val="21"/>
        <w:shd w:val="clear" w:color="auto" w:fill="auto"/>
        <w:spacing w:line="240" w:lineRule="auto"/>
        <w:ind w:right="1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42E60">
        <w:rPr>
          <w:rStyle w:val="20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Тому першочерговим завданням уряду на шляху удосконалення податкової системи, стало формування системи цілісного і зрозумілого податкового законодавства, наближення його до європейських податкових норм. Ключову роль у цьому процесі відіграло прийняття наприкінці 2010 року Податкового кодексу України </w:t>
      </w:r>
      <w:r w:rsidRPr="00842E60">
        <w:rPr>
          <w:rStyle w:val="20"/>
          <w:rFonts w:ascii="Times New Roman" w:hAnsi="Times New Roman" w:cs="Times New Roman"/>
          <w:color w:val="000000"/>
          <w:sz w:val="24"/>
          <w:szCs w:val="24"/>
          <w:lang w:eastAsia="uk-UA"/>
        </w:rPr>
        <w:t>[</w:t>
      </w:r>
      <w:r w:rsidRPr="00842E60">
        <w:rPr>
          <w:rStyle w:val="20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 w:rsidRPr="00842E60">
        <w:rPr>
          <w:rStyle w:val="20"/>
          <w:rFonts w:ascii="Times New Roman" w:hAnsi="Times New Roman" w:cs="Times New Roman"/>
          <w:color w:val="000000"/>
          <w:sz w:val="24"/>
          <w:szCs w:val="24"/>
          <w:lang w:eastAsia="uk-UA"/>
        </w:rPr>
        <w:t>]</w:t>
      </w:r>
      <w:r w:rsidRPr="00842E60">
        <w:rPr>
          <w:rStyle w:val="20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  <w:r w:rsidRPr="00842E60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Прийнятий </w:t>
      </w:r>
      <w:r w:rsidRPr="00842E60">
        <w:rPr>
          <w:rFonts w:ascii="Times New Roman" w:hAnsi="Times New Roman" w:cs="Times New Roman"/>
          <w:sz w:val="24"/>
          <w:szCs w:val="24"/>
          <w:lang w:val="uk-UA"/>
        </w:rPr>
        <w:t xml:space="preserve">Податковий кодексу України суттєво реформував податкову систему і зумовив необхідність вивчення та аналізу нових податкових реалій. Методом його формування було зібрання до нього чинних законів та підзаконних актів, різноманітних </w:t>
      </w:r>
      <w:r w:rsidRPr="00842E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інструкцій. </w:t>
      </w:r>
      <w:r w:rsidRPr="00842E6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Юридична </w:t>
      </w:r>
      <w:r w:rsidRPr="00842E60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база по наповненню бюджету в даному кодексі класифікована, узгоджена і </w:t>
      </w:r>
      <w:r w:rsidRPr="00842E60">
        <w:rPr>
          <w:rFonts w:ascii="Times New Roman" w:hAnsi="Times New Roman" w:cs="Times New Roman"/>
          <w:spacing w:val="4"/>
          <w:sz w:val="24"/>
          <w:szCs w:val="24"/>
          <w:lang w:val="uk-UA"/>
        </w:rPr>
        <w:t>визначена в термінах та поняттях.</w:t>
      </w:r>
      <w:r w:rsidRPr="00842E60">
        <w:rPr>
          <w:rFonts w:ascii="Times New Roman" w:hAnsi="Times New Roman" w:cs="Times New Roman"/>
          <w:sz w:val="24"/>
          <w:szCs w:val="24"/>
          <w:lang w:val="uk-UA"/>
        </w:rPr>
        <w:t xml:space="preserve"> Це являється безумовним позитивом, так як з введенням в дію кодексу виключається плутанина в різних законах та підзаконних актах. </w:t>
      </w:r>
      <w:r w:rsidRPr="00842E60">
        <w:rPr>
          <w:rStyle w:val="20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Проте, у світі існують податкові кодекси і іншого типу. Зокрема, у Німеччині податковий кодекс обмежений питаннями дефініцій, змісту й обсягу повноважень податкових органів, декларування та інших процедур податкового процесу. Фіскально-адміністративні особливості кожного податку розкрито в окремих законах. В Україні ж прийняття Податкового кодексу скасувало дію законів, які регулювали справляння окремих податків.</w:t>
      </w:r>
    </w:p>
    <w:p w:rsidR="00047602" w:rsidRPr="00842E60" w:rsidRDefault="00047602" w:rsidP="00047602">
      <w:pPr>
        <w:pStyle w:val="21"/>
        <w:shd w:val="clear" w:color="auto" w:fill="auto"/>
        <w:spacing w:line="240" w:lineRule="auto"/>
        <w:ind w:right="1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42E60">
        <w:rPr>
          <w:rFonts w:ascii="Times New Roman" w:hAnsi="Times New Roman" w:cs="Times New Roman"/>
          <w:sz w:val="24"/>
          <w:szCs w:val="24"/>
          <w:lang w:val="uk-UA"/>
        </w:rPr>
        <w:t xml:space="preserve">Одним із плюсів кодексу є зменшення податкового навантаження на економіку. Безумовно, зниження податку на прибуток має стимулююче подіяти на інвестиційну діяльність в Україні. </w:t>
      </w:r>
      <w:r w:rsidRPr="00842E60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Позитивним моментом є зменшення </w:t>
      </w:r>
      <w:r w:rsidRPr="00842E6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значної кількості як загальнодержавних, так і місцевих податків і зборів та </w:t>
      </w:r>
      <w:r w:rsidRPr="00842E60">
        <w:rPr>
          <w:rFonts w:ascii="Times New Roman" w:hAnsi="Times New Roman" w:cs="Times New Roman"/>
          <w:spacing w:val="-5"/>
          <w:sz w:val="24"/>
          <w:szCs w:val="24"/>
          <w:lang w:val="uk-UA"/>
        </w:rPr>
        <w:t>поступове зниження ставок податків</w:t>
      </w:r>
      <w:r w:rsidRPr="00842E6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42E60">
        <w:rPr>
          <w:rStyle w:val="20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Серед інших прогресивних новацій Податкового кодексу можна назвати також реалізацію стимулюючого потенціалу податкової політики та підвищення фіскальної ефективності податкової системи. </w:t>
      </w:r>
      <w:r w:rsidRPr="00842E60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В цілому у впровадженні кодексу простежуються як </w:t>
      </w:r>
      <w:r w:rsidRPr="00842E60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позитивні, так і негативні наслідки для різних суб’єктів господарювання, адже </w:t>
      </w:r>
      <w:r w:rsidRPr="00842E60">
        <w:rPr>
          <w:rFonts w:ascii="Times New Roman" w:hAnsi="Times New Roman" w:cs="Times New Roman"/>
          <w:spacing w:val="-5"/>
          <w:sz w:val="24"/>
          <w:szCs w:val="24"/>
          <w:lang w:val="uk-UA"/>
        </w:rPr>
        <w:t>будь яка реформа є тривалим та болючим процесом.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right="150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 xml:space="preserve">Щодо складу податкової системи України, то її основу створюють податки, аналогічні тим, які становлять ядро податкових систем більшості сучасних розвинутих країн, що свідчить про загальну закономірність уніфікації оподаткування.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Насьогодні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податкова система України має такий вигляд:</w:t>
      </w:r>
    </w:p>
    <w:p w:rsidR="00047602" w:rsidRPr="00842E60" w:rsidRDefault="00047602" w:rsidP="00047602">
      <w:pPr>
        <w:pStyle w:val="a4"/>
        <w:shd w:val="clear" w:color="auto" w:fill="FFFFFF"/>
        <w:spacing w:before="0" w:beforeAutospacing="0" w:after="0" w:afterAutospacing="0"/>
        <w:ind w:right="150" w:firstLine="567"/>
        <w:contextualSpacing/>
        <w:jc w:val="center"/>
        <w:rPr>
          <w:lang w:val="uk-UA"/>
        </w:rPr>
      </w:pPr>
      <w:r w:rsidRPr="00842E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0C988" wp14:editId="38905141">
                <wp:simplePos x="0" y="0"/>
                <wp:positionH relativeFrom="column">
                  <wp:posOffset>5080</wp:posOffset>
                </wp:positionH>
                <wp:positionV relativeFrom="paragraph">
                  <wp:posOffset>161290</wp:posOffset>
                </wp:positionV>
                <wp:extent cx="2421890" cy="311785"/>
                <wp:effectExtent l="57150" t="38100" r="73660" b="882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311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7602" w:rsidRDefault="00047602" w:rsidP="00047602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uk-UA"/>
                              </w:rPr>
                              <w:t xml:space="preserve">Загальнодержавні податки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4pt;margin-top:12.7pt;width:190.7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47602" w:rsidRDefault="00047602" w:rsidP="00047602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lang w:val="uk-UA"/>
                        </w:rPr>
                        <w:t xml:space="preserve">Загальнодержавні податки </w:t>
                      </w:r>
                    </w:p>
                  </w:txbxContent>
                </v:textbox>
              </v:shape>
            </w:pict>
          </mc:Fallback>
        </mc:AlternateContent>
      </w:r>
      <w:r w:rsidRPr="00842E60">
        <w:rPr>
          <w:b/>
          <w:noProof/>
          <w:u w:val="single"/>
          <w:lang w:val="uk-UA"/>
        </w:rPr>
        <w:t xml:space="preserve">Податкова система України </w:t>
      </w:r>
      <w:r w:rsidRPr="00842E60">
        <w:t>[1]</w:t>
      </w:r>
    </w:p>
    <w:p w:rsidR="00047602" w:rsidRPr="00842E60" w:rsidRDefault="00047602" w:rsidP="00047602">
      <w:pPr>
        <w:pStyle w:val="a4"/>
        <w:shd w:val="clear" w:color="auto" w:fill="FFFFFF"/>
        <w:spacing w:before="0" w:beforeAutospacing="0" w:after="0" w:afterAutospacing="0"/>
        <w:ind w:right="150" w:firstLine="567"/>
        <w:contextualSpacing/>
        <w:jc w:val="center"/>
        <w:rPr>
          <w:sz w:val="20"/>
          <w:szCs w:val="20"/>
          <w:lang w:val="uk-UA"/>
        </w:rPr>
      </w:pPr>
      <w:r w:rsidRPr="00842E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A0534" wp14:editId="30F66685">
                <wp:simplePos x="0" y="0"/>
                <wp:positionH relativeFrom="column">
                  <wp:posOffset>3683000</wp:posOffset>
                </wp:positionH>
                <wp:positionV relativeFrom="paragraph">
                  <wp:posOffset>-1270</wp:posOffset>
                </wp:positionV>
                <wp:extent cx="2240280" cy="311785"/>
                <wp:effectExtent l="57150" t="38100" r="83820" b="882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11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7602" w:rsidRDefault="00047602" w:rsidP="00047602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Місцеві податки і збори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90pt;margin-top:-.1pt;width:176.4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47602" w:rsidRDefault="00047602" w:rsidP="00047602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Місцеві податки і збори</w:t>
                      </w:r>
                    </w:p>
                  </w:txbxContent>
                </v:textbox>
              </v:shape>
            </w:pict>
          </mc:Fallback>
        </mc:AlternateContent>
      </w:r>
    </w:p>
    <w:p w:rsidR="00047602" w:rsidRPr="00842E60" w:rsidRDefault="00047602" w:rsidP="00047602">
      <w:pPr>
        <w:pStyle w:val="a4"/>
        <w:shd w:val="clear" w:color="auto" w:fill="FFFFFF"/>
        <w:spacing w:before="0" w:beforeAutospacing="0" w:after="0" w:afterAutospacing="0"/>
        <w:ind w:right="150" w:firstLine="567"/>
        <w:contextualSpacing/>
        <w:jc w:val="center"/>
        <w:rPr>
          <w:b/>
          <w:noProof/>
          <w:sz w:val="20"/>
          <w:szCs w:val="20"/>
          <w:u w:val="single"/>
          <w:lang w:val="uk-UA"/>
        </w:rPr>
      </w:pPr>
    </w:p>
    <w:p w:rsidR="00047602" w:rsidRDefault="00047602" w:rsidP="00047602">
      <w:pPr>
        <w:shd w:val="clear" w:color="auto" w:fill="FFFFFF"/>
        <w:spacing w:after="0" w:line="240" w:lineRule="auto"/>
        <w:ind w:right="150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3082"/>
      </w:tblGrid>
      <w:tr w:rsidR="008D72B2" w:rsidTr="008D72B2">
        <w:tc>
          <w:tcPr>
            <w:tcW w:w="6204" w:type="dxa"/>
          </w:tcPr>
          <w:p w:rsidR="008D72B2" w:rsidRDefault="008D72B2" w:rsidP="00047602">
            <w:pPr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Податок на прибуток підприємств</w:t>
            </w:r>
          </w:p>
        </w:tc>
        <w:tc>
          <w:tcPr>
            <w:tcW w:w="3082" w:type="dxa"/>
          </w:tcPr>
          <w:p w:rsidR="008D72B2" w:rsidRDefault="008D72B2" w:rsidP="008D72B2">
            <w:pPr>
              <w:ind w:right="1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Податки</w:t>
            </w:r>
          </w:p>
        </w:tc>
      </w:tr>
      <w:tr w:rsidR="008D72B2" w:rsidTr="008D72B2">
        <w:tc>
          <w:tcPr>
            <w:tcW w:w="6204" w:type="dxa"/>
          </w:tcPr>
          <w:p w:rsidR="008D72B2" w:rsidRDefault="008D72B2" w:rsidP="00047602">
            <w:pPr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Податок на доходи фізичних осіб</w:t>
            </w:r>
          </w:p>
        </w:tc>
        <w:tc>
          <w:tcPr>
            <w:tcW w:w="3082" w:type="dxa"/>
          </w:tcPr>
          <w:p w:rsidR="008D72B2" w:rsidRPr="00842E60" w:rsidRDefault="008D72B2" w:rsidP="008D72B2">
            <w:pPr>
              <w:shd w:val="clear" w:color="auto" w:fill="FFFFFF"/>
              <w:tabs>
                <w:tab w:val="left" w:pos="299"/>
              </w:tabs>
              <w:spacing w:line="18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Податок на майно</w:t>
            </w:r>
            <w:r w:rsidR="00CD6B4F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  <w:bookmarkStart w:id="0" w:name="_GoBack"/>
            <w:bookmarkEnd w:id="0"/>
          </w:p>
          <w:p w:rsidR="008D72B2" w:rsidRPr="00842E60" w:rsidRDefault="008D72B2" w:rsidP="008D72B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99"/>
              </w:tabs>
              <w:spacing w:line="18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Податок на нерухоме майно, відмінне від земельної ділянки </w:t>
            </w:r>
          </w:p>
          <w:p w:rsidR="008D72B2" w:rsidRPr="008D72B2" w:rsidRDefault="008D72B2" w:rsidP="008D72B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99"/>
              </w:tabs>
              <w:spacing w:line="18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Транспортний податок</w:t>
            </w:r>
          </w:p>
          <w:p w:rsidR="008D72B2" w:rsidRDefault="008D72B2" w:rsidP="008D72B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99"/>
              </w:tabs>
              <w:spacing w:line="18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Плата за землю</w:t>
            </w:r>
          </w:p>
        </w:tc>
      </w:tr>
      <w:tr w:rsidR="008D72B2" w:rsidTr="008D72B2">
        <w:tc>
          <w:tcPr>
            <w:tcW w:w="6204" w:type="dxa"/>
          </w:tcPr>
          <w:p w:rsidR="008D72B2" w:rsidRDefault="008D72B2" w:rsidP="00047602">
            <w:pPr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3082" w:type="dxa"/>
          </w:tcPr>
          <w:p w:rsidR="008D72B2" w:rsidRDefault="008D72B2" w:rsidP="00047602">
            <w:pPr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Єдиний податок</w:t>
            </w:r>
          </w:p>
        </w:tc>
      </w:tr>
      <w:tr w:rsidR="008D72B2" w:rsidTr="008D72B2">
        <w:tc>
          <w:tcPr>
            <w:tcW w:w="6204" w:type="dxa"/>
          </w:tcPr>
          <w:p w:rsidR="008D72B2" w:rsidRDefault="008D72B2" w:rsidP="00047602">
            <w:pPr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Акцизний податок</w:t>
            </w:r>
          </w:p>
        </w:tc>
        <w:tc>
          <w:tcPr>
            <w:tcW w:w="3082" w:type="dxa"/>
          </w:tcPr>
          <w:p w:rsidR="008D72B2" w:rsidRDefault="008D72B2" w:rsidP="008D72B2">
            <w:pPr>
              <w:ind w:right="1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Збори</w:t>
            </w:r>
          </w:p>
        </w:tc>
      </w:tr>
      <w:tr w:rsidR="008D72B2" w:rsidTr="008D72B2">
        <w:tc>
          <w:tcPr>
            <w:tcW w:w="6204" w:type="dxa"/>
          </w:tcPr>
          <w:p w:rsidR="008D72B2" w:rsidRDefault="008D72B2" w:rsidP="00047602">
            <w:pPr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Екологічний податок</w:t>
            </w:r>
          </w:p>
        </w:tc>
        <w:tc>
          <w:tcPr>
            <w:tcW w:w="3082" w:type="dxa"/>
          </w:tcPr>
          <w:p w:rsidR="008D72B2" w:rsidRDefault="008D72B2" w:rsidP="00CD6B4F">
            <w:pPr>
              <w:spacing w:line="180" w:lineRule="auto"/>
              <w:ind w:right="14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Збір за місця для паркування транспортних засобів</w:t>
            </w:r>
          </w:p>
        </w:tc>
      </w:tr>
      <w:tr w:rsidR="008D72B2" w:rsidTr="008D72B2">
        <w:tc>
          <w:tcPr>
            <w:tcW w:w="6204" w:type="dxa"/>
          </w:tcPr>
          <w:p w:rsidR="008D72B2" w:rsidRPr="00842E60" w:rsidRDefault="008D72B2" w:rsidP="008D72B2">
            <w:pPr>
              <w:shd w:val="clear" w:color="auto" w:fill="FFFFFF"/>
              <w:tabs>
                <w:tab w:val="left" w:pos="285"/>
              </w:tabs>
              <w:spacing w:line="18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Рентна плата:</w:t>
            </w:r>
          </w:p>
          <w:p w:rsidR="008D72B2" w:rsidRPr="00842E60" w:rsidRDefault="008D72B2" w:rsidP="008D72B2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85"/>
              </w:tabs>
              <w:spacing w:line="18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Рентна плата за користування надрами для видобування корисних копалин</w:t>
            </w:r>
          </w:p>
          <w:p w:rsidR="008D72B2" w:rsidRPr="00842E60" w:rsidRDefault="008D72B2" w:rsidP="008D72B2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85"/>
              </w:tabs>
              <w:spacing w:line="18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Рентна плата за користування в цілях, не пов’язаних із видобування корисних копалин</w:t>
            </w:r>
          </w:p>
          <w:p w:rsidR="008D72B2" w:rsidRPr="00842E60" w:rsidRDefault="008D72B2" w:rsidP="008D72B2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85"/>
              </w:tabs>
              <w:spacing w:line="18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Рентна плата за користування радіочастотним ресурсом України</w:t>
            </w:r>
          </w:p>
          <w:p w:rsidR="008D72B2" w:rsidRPr="00842E60" w:rsidRDefault="008D72B2" w:rsidP="008D72B2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85"/>
              </w:tabs>
              <w:spacing w:line="18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Рентна плата за спеціальне використання води</w:t>
            </w:r>
          </w:p>
          <w:p w:rsidR="008D72B2" w:rsidRPr="008D72B2" w:rsidRDefault="008D72B2" w:rsidP="008D72B2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85"/>
              </w:tabs>
              <w:spacing w:line="18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Рентна плата за спеціальне використання лісових ресурсів</w:t>
            </w:r>
          </w:p>
          <w:p w:rsidR="008D72B2" w:rsidRDefault="008D72B2" w:rsidP="008D72B2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85"/>
              </w:tabs>
              <w:spacing w:line="18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Рентна плата за транспортування нафти та нафтопродуктів магістральними нафтопроводами та нафтопродуктопроводами, транзитне транспортування трубопроводами природнього газу й аміаку територією України</w:t>
            </w:r>
          </w:p>
        </w:tc>
        <w:tc>
          <w:tcPr>
            <w:tcW w:w="3082" w:type="dxa"/>
          </w:tcPr>
          <w:p w:rsidR="008D72B2" w:rsidRDefault="008D72B2" w:rsidP="00047602">
            <w:pPr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Туристичний збір</w:t>
            </w:r>
          </w:p>
        </w:tc>
      </w:tr>
      <w:tr w:rsidR="008D72B2" w:rsidTr="008D72B2">
        <w:tc>
          <w:tcPr>
            <w:tcW w:w="6204" w:type="dxa"/>
          </w:tcPr>
          <w:p w:rsidR="008D72B2" w:rsidRDefault="008D72B2" w:rsidP="00047602">
            <w:pPr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E60">
              <w:rPr>
                <w:rFonts w:ascii="Times New Roman" w:hAnsi="Times New Roman"/>
                <w:sz w:val="20"/>
                <w:szCs w:val="20"/>
                <w:lang w:val="uk-UA"/>
              </w:rPr>
              <w:t>Мито</w:t>
            </w:r>
          </w:p>
        </w:tc>
        <w:tc>
          <w:tcPr>
            <w:tcW w:w="3082" w:type="dxa"/>
          </w:tcPr>
          <w:p w:rsidR="008D72B2" w:rsidRDefault="008D72B2" w:rsidP="00047602">
            <w:pPr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D72B2" w:rsidRDefault="008D72B2" w:rsidP="00047602">
      <w:pPr>
        <w:shd w:val="clear" w:color="auto" w:fill="FFFFFF"/>
        <w:spacing w:after="0" w:line="240" w:lineRule="auto"/>
        <w:ind w:right="150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Проаналізувавши податкову систему України ми можемо перейти до порівняльного аналізу з податковими системами зарубіжних країн, а сама країн Європейського Союзу.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 xml:space="preserve">Податкова система будь-якої країни відображає особливості організації та функціонування її господарства, в той же час порівняння складу податкової системи України з розвинутими європейськими країнами, а також іншими державами, які </w:t>
      </w:r>
      <w:r w:rsidRPr="00842E60">
        <w:rPr>
          <w:rFonts w:ascii="Times New Roman" w:hAnsi="Times New Roman"/>
          <w:sz w:val="24"/>
          <w:szCs w:val="24"/>
          <w:lang w:val="uk-UA"/>
        </w:rPr>
        <w:lastRenderedPageBreak/>
        <w:t>проходять етап ринкової трансформації господарства, свідчить про те, що особливо принципові відмінності в цьому відношенні відсутні.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Відмінності можна побачити в тому, що якщо країни ЄС традиційно покладаються на непрямі податки, то в Україні перевага віддається прямому оподаткуванню.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У той же час треба визнати, що головним принципом існування податкової системи країн Європейського Союзу є принцип прозорості, відкритості та простоти адміністрування податків. Реалізація цих принципів знаходить своє відображення у кількості податків, яка коливається в країнах ЄС від 7 до 16 (податків, Нідерланди – 9, Франція – 7, Німеччина – 16, Італія – 15, Великобританія – 8 податків) [2, с.80].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Що стосується України, то в нашій державі на протязі десятиліть йдеться про необхідність впорядкування податкової системи у кількісному аспекті. Останні зміни в цьому напрямі були запроваджені урядом в 2015 році, мова йшла про скорочення податків до європейського рівня.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Слід зазначити, що суттєвою відмінністю складу податкової системи України від звичайного європейського набору є відсутність повноцінного податку на майно (матеріальні об’єкти, які можуть бути предметами володіння, користування і розпорядження), в нашій країні фактично відсутній так званий податок на розкіш. Він являє собою оподаткування предметів, споживання яких свідчить про багатство або про відносну заможність. У цілому майже у всіх європейських країнах, існує податок на розкіш, стосується він в основному дорогої нерухомості.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Слід зауважити, що в країнах Європейського Союзу принцип соціальної справедливості реалізується на основі існування прогресивної шкали оподаткування. З точки зору теорії у світі існує два підходи до оподаткування доходів:</w:t>
      </w:r>
    </w:p>
    <w:p w:rsidR="00047602" w:rsidRPr="00842E60" w:rsidRDefault="00047602" w:rsidP="00047602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1)</w:t>
      </w:r>
      <w:r w:rsidRPr="00842E60">
        <w:rPr>
          <w:rFonts w:ascii="Times New Roman" w:hAnsi="Times New Roman"/>
          <w:sz w:val="24"/>
          <w:szCs w:val="24"/>
          <w:lang w:val="uk-UA"/>
        </w:rPr>
        <w:tab/>
        <w:t>плоска шкала оподаткування означає податок, що справляється за єдиною ставкою при будь-якому рівні доходу – єдина ставка прибуткового податку, яка розглядається як альтернатива прогресивному оподаткуванню;</w:t>
      </w:r>
    </w:p>
    <w:p w:rsidR="00047602" w:rsidRPr="00842E60" w:rsidRDefault="00047602" w:rsidP="00047602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2)</w:t>
      </w:r>
      <w:r w:rsidRPr="00842E60">
        <w:rPr>
          <w:rFonts w:ascii="Times New Roman" w:hAnsi="Times New Roman"/>
          <w:sz w:val="24"/>
          <w:szCs w:val="24"/>
          <w:lang w:val="uk-UA"/>
        </w:rPr>
        <w:tab/>
        <w:t>прогресивна шкала оподаткування – система оподаткування, що побудована на принципі збільшення податкових ставок залежно від зростання рівня оподаткованого доходу платника податку [3, с. 129].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Зазначимо, що плоска шкала оподаткування застосовується в країнах, які важко віднести до лідерів сучасної економіки, зокрема, в Албанії, Грузії, Монголії, Росії, Румунії, Україні.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У той же час у розвинутих країнах Європейського Союзу система оподаткування базується на прогресивній шкалі.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В інших аспектах вітчизняна система оподаткування принципово не відрізняється від європейської, хоча в окремих аспектах ці відмінності мають місце.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Наприклад, що стосується податку на прибуток підприємств, то в європейській практиці податок на прибуток є однією з основних дохідних частин бюджету і виступає своєрідною економічною категорією зі стійкими внутрішніми властивостями і закономірностями розвитку.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Лідирує за рівнем корпоративного податку на прибуток Франція зі ставкою у 38%. У п’ятірці лідерів рейтингу також Португалія та Італія, де податок на прибуток компаній становить 31,5% і 31,4% відповідно, у Німеччині корпоративний прибуток складає 30,2%, а у Польщі наближається до українського рівня і складає 18% [4].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Перехід до стягування ПДВ послужив тим фіскальним інструментом, який дозволив сформувати єдині засади оподаткування споживання в межах спільного ринку, забезпечуючи тим самим поступову гармонізацію і зближення фіскальних систем окремих країн.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lastRenderedPageBreak/>
        <w:t>Відповідно до ст. 193 Податкового кодексу України, базова ставка оподаткування становить 20% [1].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Аналогічна ставка у Великобританії, Болгарії, Сербії, Естонії, у Польщі і Румунії – 23%. У Німеччині ставка ПДВ складає 14%, в Ісландії – 24,5%, Іспанії – 12%, Італії – 12%, Португалії – 16% [5, с. 88].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Враховуючи історично сформовані національні особливості застосування ПДВ, країни ЄС вже кілька десятиліть ведуть процес його гармонізації. Це свідчить про те, що у найближчій історичній перспективі, принаймні для європейських держав, реальної альтернативи ПДВ не існує. Беручи до уваги стратегічний курс України на інтеграцію в європейські структури, ПДВ, незважаючи на заперечення його численних противників, має залишатися одним з центральних елементів податкової системи України.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Таким чином, проаналізувати переваги системи оподаткування, яка існує в кранах Європейського Союзу та дослідивши вітчизняну систему, за результатами дослідження можемо зробити такі висновки.</w:t>
      </w:r>
    </w:p>
    <w:p w:rsidR="00047602" w:rsidRPr="00842E60" w:rsidRDefault="00047602" w:rsidP="00047602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1.</w:t>
      </w:r>
      <w:r w:rsidRPr="00842E60">
        <w:rPr>
          <w:rFonts w:ascii="Times New Roman" w:hAnsi="Times New Roman"/>
          <w:sz w:val="24"/>
          <w:szCs w:val="24"/>
          <w:lang w:val="uk-UA"/>
        </w:rPr>
        <w:tab/>
        <w:t>Менша кількість податків, що дає змогу ефективного їх адміністрування, сприяє прозорості та відкритості податкової системи.</w:t>
      </w:r>
    </w:p>
    <w:p w:rsidR="00047602" w:rsidRPr="00842E60" w:rsidRDefault="00047602" w:rsidP="00047602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2.</w:t>
      </w:r>
      <w:r w:rsidRPr="00842E60">
        <w:rPr>
          <w:rFonts w:ascii="Times New Roman" w:hAnsi="Times New Roman"/>
          <w:sz w:val="24"/>
          <w:szCs w:val="24"/>
          <w:lang w:val="uk-UA"/>
        </w:rPr>
        <w:tab/>
        <w:t>Наявність реально діючої системи оподаткування розкоші, яка, окрім того, що сприяє наповненню бюджету, є гарантією соціальної справедливості, громадської злагоди у суспільстві.</w:t>
      </w:r>
    </w:p>
    <w:p w:rsidR="00047602" w:rsidRPr="00842E60" w:rsidRDefault="00047602" w:rsidP="00047602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3.</w:t>
      </w:r>
      <w:r w:rsidRPr="00842E60">
        <w:rPr>
          <w:rFonts w:ascii="Times New Roman" w:hAnsi="Times New Roman"/>
          <w:sz w:val="24"/>
          <w:szCs w:val="24"/>
          <w:lang w:val="uk-UA"/>
        </w:rPr>
        <w:tab/>
        <w:t>Підвищений рівень оподаткування суб’єктів господарювання, що дає можливість державі повною мірою реалізовувати свої функції: соціальну, функцію охорони правопорядку, військового захисту тощо.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>В усіх інших аспектах навряд чи доцільно стверджувати, що податкова система ЄС має суттєві переваги над українською системою оподаткування, відповідно, не має сенсу копіювати цю систему. Доцільним є справдження тих елементів цієї системи, які можуть надати українській економіці імпульсу, стабілізувати соціальне становище в державі, сприяти вирішенню надскладних політичних та військових завдань, які постали перед Україною.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2E60">
        <w:rPr>
          <w:rFonts w:ascii="Times New Roman" w:hAnsi="Times New Roman"/>
          <w:b/>
          <w:sz w:val="24"/>
          <w:szCs w:val="24"/>
          <w:lang w:val="uk-UA"/>
        </w:rPr>
        <w:t>Список використаних джерел</w:t>
      </w:r>
      <w:r w:rsidR="00842E60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 xml:space="preserve">1. Податковий кодекс України [Електронний ресурс]. – Режим доступу: </w:t>
      </w:r>
      <w:hyperlink r:id="rId7" w:history="1">
        <w:r w:rsidRPr="00842E60">
          <w:rPr>
            <w:rStyle w:val="a3"/>
            <w:rFonts w:ascii="Times New Roman" w:hAnsi="Times New Roman"/>
            <w:sz w:val="24"/>
            <w:szCs w:val="24"/>
            <w:lang w:val="uk-UA"/>
          </w:rPr>
          <w:t>http://zakon5.rada.gov.ua/laws/show/2755-17</w:t>
        </w:r>
      </w:hyperlink>
      <w:r w:rsidRPr="00842E60">
        <w:rPr>
          <w:rFonts w:ascii="Times New Roman" w:hAnsi="Times New Roman"/>
          <w:sz w:val="24"/>
          <w:szCs w:val="24"/>
          <w:lang w:val="uk-UA"/>
        </w:rPr>
        <w:t>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 xml:space="preserve">2. Мельник В. Сучасна податкова політика у країнах ЄС-15 / В.Мельник, Т.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Кощук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//Економіка України. – 2012. – С.73-85. [Електронний ресурс]. – Режим доступу:</w:t>
      </w:r>
      <w:r w:rsidRPr="00842E60">
        <w:rPr>
          <w:rFonts w:ascii="Times New Roman" w:hAnsi="Times New Roman"/>
          <w:lang w:val="uk-UA"/>
        </w:rPr>
        <w:t xml:space="preserve"> </w:t>
      </w:r>
      <w:hyperlink r:id="rId8" w:history="1">
        <w:r w:rsidRPr="00842E60">
          <w:rPr>
            <w:rStyle w:val="a3"/>
            <w:rFonts w:ascii="Times New Roman" w:hAnsi="Times New Roman"/>
            <w:sz w:val="24"/>
            <w:szCs w:val="24"/>
            <w:lang w:val="uk-UA"/>
          </w:rPr>
          <w:t>http://</w:t>
        </w:r>
        <w:r w:rsidRPr="00842E6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irbis-nbuv.gov.ua</w:t>
        </w:r>
      </w:hyperlink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Соколовська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А. М. Податкова система України: теорія та практика становлення / А. М.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Соколовська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>. – К. : НДФІ, 2001. – 372 с.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Налог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прибыль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странах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Европы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– рейтинг 2014 [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Электронный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ресурс]. – Режим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: </w:t>
      </w:r>
      <w:hyperlink r:id="rId9" w:history="1">
        <w:r w:rsidRPr="00842E60">
          <w:rPr>
            <w:rStyle w:val="a3"/>
            <w:rFonts w:ascii="Times New Roman" w:hAnsi="Times New Roman"/>
            <w:sz w:val="24"/>
            <w:szCs w:val="24"/>
            <w:lang w:val="uk-UA"/>
          </w:rPr>
          <w:t>http://riarating.ru/infografika/20140827/610628510.html</w:t>
        </w:r>
      </w:hyperlink>
      <w:r w:rsidRPr="00842E60">
        <w:rPr>
          <w:rFonts w:ascii="Times New Roman" w:hAnsi="Times New Roman"/>
          <w:sz w:val="24"/>
          <w:szCs w:val="24"/>
          <w:lang w:val="uk-UA"/>
        </w:rPr>
        <w:t>.</w:t>
      </w:r>
    </w:p>
    <w:p w:rsidR="00047602" w:rsidRPr="00842E60" w:rsidRDefault="00047602" w:rsidP="0004760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2E60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Тофан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І. Проблематика оподаткування в країнах Євросоюзу / І.</w:t>
      </w:r>
      <w:proofErr w:type="spellStart"/>
      <w:r w:rsidRPr="00842E60">
        <w:rPr>
          <w:rFonts w:ascii="Times New Roman" w:hAnsi="Times New Roman"/>
          <w:sz w:val="24"/>
          <w:szCs w:val="24"/>
          <w:lang w:val="uk-UA"/>
        </w:rPr>
        <w:t>Тофан</w:t>
      </w:r>
      <w:proofErr w:type="spellEnd"/>
      <w:r w:rsidRPr="00842E60">
        <w:rPr>
          <w:rFonts w:ascii="Times New Roman" w:hAnsi="Times New Roman"/>
          <w:sz w:val="24"/>
          <w:szCs w:val="24"/>
          <w:lang w:val="uk-UA"/>
        </w:rPr>
        <w:t xml:space="preserve"> // Аграрна економіка. – 2012. – Т.5. - №1-2. – С.86-90.</w:t>
      </w:r>
    </w:p>
    <w:sectPr w:rsidR="00047602" w:rsidRPr="00842E60" w:rsidSect="000B29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CF8"/>
    <w:multiLevelType w:val="hybridMultilevel"/>
    <w:tmpl w:val="B7220E08"/>
    <w:lvl w:ilvl="0" w:tplc="A06E4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C30E4"/>
    <w:multiLevelType w:val="hybridMultilevel"/>
    <w:tmpl w:val="66648000"/>
    <w:lvl w:ilvl="0" w:tplc="E0640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F5"/>
    <w:rsid w:val="000109E8"/>
    <w:rsid w:val="00047602"/>
    <w:rsid w:val="000B29B7"/>
    <w:rsid w:val="000C1039"/>
    <w:rsid w:val="00342A60"/>
    <w:rsid w:val="0036246F"/>
    <w:rsid w:val="00595B23"/>
    <w:rsid w:val="006717B1"/>
    <w:rsid w:val="007C21F5"/>
    <w:rsid w:val="007F246D"/>
    <w:rsid w:val="00815847"/>
    <w:rsid w:val="00842E60"/>
    <w:rsid w:val="008D72B2"/>
    <w:rsid w:val="009E0884"/>
    <w:rsid w:val="00A922F6"/>
    <w:rsid w:val="00AE13A1"/>
    <w:rsid w:val="00B53A06"/>
    <w:rsid w:val="00CD6B4F"/>
    <w:rsid w:val="00D92DF9"/>
    <w:rsid w:val="00E223ED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6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671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24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2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246F"/>
    <w:pPr>
      <w:ind w:left="720"/>
      <w:contextualSpacing/>
    </w:pPr>
  </w:style>
  <w:style w:type="character" w:customStyle="1" w:styleId="apple-converted-space">
    <w:name w:val="apple-converted-space"/>
    <w:basedOn w:val="a0"/>
    <w:rsid w:val="0036246F"/>
  </w:style>
  <w:style w:type="character" w:styleId="a6">
    <w:name w:val="FollowedHyperlink"/>
    <w:basedOn w:val="a0"/>
    <w:uiPriority w:val="99"/>
    <w:semiHidden/>
    <w:unhideWhenUsed/>
    <w:rsid w:val="00AE13A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71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sctg2">
    <w:name w:val="gs_ctg2"/>
    <w:basedOn w:val="a0"/>
    <w:rsid w:val="006717B1"/>
  </w:style>
  <w:style w:type="character" w:customStyle="1" w:styleId="gsct1">
    <w:name w:val="gs_ct1"/>
    <w:basedOn w:val="a0"/>
    <w:rsid w:val="006717B1"/>
  </w:style>
  <w:style w:type="character" w:customStyle="1" w:styleId="2">
    <w:name w:val="Основной текст (2)_"/>
    <w:link w:val="21"/>
    <w:locked/>
    <w:rsid w:val="00047602"/>
    <w:rPr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47602"/>
    <w:pPr>
      <w:widowControl w:val="0"/>
      <w:shd w:val="clear" w:color="auto" w:fill="FFFFFF"/>
      <w:spacing w:after="0" w:line="154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20">
    <w:name w:val="Основной текст (2)"/>
    <w:basedOn w:val="2"/>
    <w:rsid w:val="00047602"/>
    <w:rPr>
      <w:sz w:val="21"/>
      <w:szCs w:val="21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FC351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C35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8D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6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671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24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2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246F"/>
    <w:pPr>
      <w:ind w:left="720"/>
      <w:contextualSpacing/>
    </w:pPr>
  </w:style>
  <w:style w:type="character" w:customStyle="1" w:styleId="apple-converted-space">
    <w:name w:val="apple-converted-space"/>
    <w:basedOn w:val="a0"/>
    <w:rsid w:val="0036246F"/>
  </w:style>
  <w:style w:type="character" w:styleId="a6">
    <w:name w:val="FollowedHyperlink"/>
    <w:basedOn w:val="a0"/>
    <w:uiPriority w:val="99"/>
    <w:semiHidden/>
    <w:unhideWhenUsed/>
    <w:rsid w:val="00AE13A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71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sctg2">
    <w:name w:val="gs_ctg2"/>
    <w:basedOn w:val="a0"/>
    <w:rsid w:val="006717B1"/>
  </w:style>
  <w:style w:type="character" w:customStyle="1" w:styleId="gsct1">
    <w:name w:val="gs_ct1"/>
    <w:basedOn w:val="a0"/>
    <w:rsid w:val="006717B1"/>
  </w:style>
  <w:style w:type="character" w:customStyle="1" w:styleId="2">
    <w:name w:val="Основной текст (2)_"/>
    <w:link w:val="21"/>
    <w:locked/>
    <w:rsid w:val="00047602"/>
    <w:rPr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47602"/>
    <w:pPr>
      <w:widowControl w:val="0"/>
      <w:shd w:val="clear" w:color="auto" w:fill="FFFFFF"/>
      <w:spacing w:after="0" w:line="154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20">
    <w:name w:val="Основной текст (2)"/>
    <w:basedOn w:val="2"/>
    <w:rsid w:val="00047602"/>
    <w:rPr>
      <w:sz w:val="21"/>
      <w:szCs w:val="21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FC351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C35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8D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275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s.inst.411@ukr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iarating.ru/infografika/20140827/6106285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2016-12-09T12:54:00Z</cp:lastPrinted>
  <dcterms:created xsi:type="dcterms:W3CDTF">2016-12-09T11:57:00Z</dcterms:created>
  <dcterms:modified xsi:type="dcterms:W3CDTF">2016-12-18T08:16:00Z</dcterms:modified>
</cp:coreProperties>
</file>