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7C" w:rsidRPr="00F86652" w:rsidRDefault="00D7327C" w:rsidP="00D7327C">
      <w:pPr>
        <w:spacing w:after="0"/>
        <w:ind w:firstLine="709"/>
        <w:jc w:val="right"/>
        <w:rPr>
          <w:rFonts w:ascii="Times New Roman" w:hAnsi="Times New Roman"/>
          <w:b/>
          <w:i/>
          <w:sz w:val="28"/>
          <w:szCs w:val="28"/>
        </w:rPr>
      </w:pPr>
      <w:r w:rsidRPr="00F86652">
        <w:rPr>
          <w:rFonts w:ascii="Times New Roman" w:hAnsi="Times New Roman"/>
          <w:b/>
          <w:i/>
          <w:sz w:val="28"/>
          <w:szCs w:val="28"/>
        </w:rPr>
        <w:t>Савченко В.</w:t>
      </w:r>
      <w:r>
        <w:rPr>
          <w:rFonts w:ascii="Times New Roman" w:hAnsi="Times New Roman"/>
          <w:b/>
          <w:i/>
          <w:sz w:val="28"/>
          <w:szCs w:val="28"/>
        </w:rPr>
        <w:t xml:space="preserve"> </w:t>
      </w:r>
      <w:r w:rsidRPr="00F86652">
        <w:rPr>
          <w:rFonts w:ascii="Times New Roman" w:hAnsi="Times New Roman"/>
          <w:b/>
          <w:i/>
          <w:sz w:val="28"/>
          <w:szCs w:val="28"/>
        </w:rPr>
        <w:t>Ф, д.е.н., професор,</w:t>
      </w:r>
    </w:p>
    <w:p w:rsidR="00D7327C" w:rsidRPr="00F86652" w:rsidRDefault="00D7327C" w:rsidP="00D7327C">
      <w:pPr>
        <w:spacing w:after="0"/>
        <w:ind w:firstLine="709"/>
        <w:jc w:val="right"/>
        <w:rPr>
          <w:rFonts w:ascii="Times New Roman" w:hAnsi="Times New Roman"/>
          <w:b/>
          <w:i/>
          <w:sz w:val="28"/>
          <w:szCs w:val="28"/>
        </w:rPr>
      </w:pPr>
      <w:r w:rsidRPr="00F86652">
        <w:rPr>
          <w:rFonts w:ascii="Times New Roman" w:hAnsi="Times New Roman"/>
          <w:b/>
          <w:i/>
          <w:sz w:val="28"/>
          <w:szCs w:val="28"/>
        </w:rPr>
        <w:t>заслужений економіст України</w:t>
      </w:r>
    </w:p>
    <w:p w:rsidR="00D7327C" w:rsidRPr="00F86652" w:rsidRDefault="00D7327C" w:rsidP="00D7327C">
      <w:pPr>
        <w:spacing w:after="0"/>
        <w:ind w:firstLine="709"/>
        <w:jc w:val="right"/>
        <w:rPr>
          <w:rFonts w:ascii="Times New Roman" w:hAnsi="Times New Roman"/>
          <w:sz w:val="28"/>
          <w:szCs w:val="28"/>
        </w:rPr>
      </w:pPr>
    </w:p>
    <w:p w:rsidR="00D7327C" w:rsidRPr="00F86652" w:rsidRDefault="00D7327C" w:rsidP="00D7327C">
      <w:pPr>
        <w:spacing w:after="0"/>
        <w:jc w:val="center"/>
        <w:rPr>
          <w:rFonts w:ascii="Times New Roman" w:hAnsi="Times New Roman"/>
          <w:b/>
          <w:sz w:val="28"/>
          <w:szCs w:val="28"/>
        </w:rPr>
      </w:pPr>
      <w:r w:rsidRPr="00F86652">
        <w:rPr>
          <w:rFonts w:ascii="Times New Roman" w:hAnsi="Times New Roman"/>
          <w:b/>
          <w:sz w:val="28"/>
          <w:szCs w:val="28"/>
        </w:rPr>
        <w:t>2.3. ЧИ ВИПРАВДАВ СПОДІВАННЯ ЄВРОПЕЙСЬКИЙ СОЮЗ?</w:t>
      </w:r>
    </w:p>
    <w:p w:rsidR="00D7327C" w:rsidRPr="00F86652" w:rsidRDefault="00D7327C" w:rsidP="00D7327C">
      <w:pPr>
        <w:spacing w:after="0"/>
        <w:ind w:firstLine="709"/>
        <w:jc w:val="both"/>
        <w:rPr>
          <w:rFonts w:ascii="Times New Roman" w:hAnsi="Times New Roman"/>
          <w:b/>
          <w:sz w:val="28"/>
          <w:szCs w:val="28"/>
        </w:rPr>
      </w:pP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Європейський Союз з точки зору довготермінової перспективи, як вважається, достатньо підготовлений для успішної конкуренції з Китаєм і навіть із США. ЕС-27 (на сьогодні його склад розширився до 28 країн-членів за рахунок Хорватії, яка прийнята 1 липня 2013р.) залишається найбільшою економікою – 29% світового ВВП (для порівняння США – 23%, КНР – 10%, Японія – 9%, Росія – 3%). На Євросоюз припадає біля 20% загального обсягу торгівлі товарами та послугами , хоча на його території проживає всього 7% населення Земної Кулі. 32 ТНК ЄС входять до числа 100 найбільших ТНК світу.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Господарський механізм ЄС має достатній запас міцності, диференційований, а Європа в цілому напрацювала величезний історичний досвід.</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Починаючи з 01.01.2002р., 12 країн (Австрія, Бельгія, Греція, Іспанія, Італія,</w:t>
      </w:r>
      <w:r>
        <w:rPr>
          <w:rFonts w:ascii="Times New Roman" w:hAnsi="Times New Roman"/>
          <w:sz w:val="28"/>
          <w:szCs w:val="28"/>
        </w:rPr>
        <w:t xml:space="preserve"> </w:t>
      </w:r>
      <w:r w:rsidRPr="00F86652">
        <w:rPr>
          <w:rFonts w:ascii="Times New Roman" w:hAnsi="Times New Roman"/>
          <w:sz w:val="28"/>
          <w:szCs w:val="28"/>
        </w:rPr>
        <w:t>Ірландія,</w:t>
      </w:r>
      <w:r>
        <w:rPr>
          <w:rFonts w:ascii="Times New Roman" w:hAnsi="Times New Roman"/>
          <w:sz w:val="28"/>
          <w:szCs w:val="28"/>
        </w:rPr>
        <w:t xml:space="preserve"> </w:t>
      </w:r>
      <w:r w:rsidRPr="00F86652">
        <w:rPr>
          <w:rFonts w:ascii="Times New Roman" w:hAnsi="Times New Roman"/>
          <w:sz w:val="28"/>
          <w:szCs w:val="28"/>
        </w:rPr>
        <w:t>Люксембург, Нідерланди,</w:t>
      </w:r>
      <w:r>
        <w:rPr>
          <w:rFonts w:ascii="Times New Roman" w:hAnsi="Times New Roman"/>
          <w:sz w:val="28"/>
          <w:szCs w:val="28"/>
        </w:rPr>
        <w:t xml:space="preserve"> </w:t>
      </w:r>
      <w:r w:rsidRPr="00F86652">
        <w:rPr>
          <w:rFonts w:ascii="Times New Roman" w:hAnsi="Times New Roman"/>
          <w:sz w:val="28"/>
          <w:szCs w:val="28"/>
        </w:rPr>
        <w:t>Німеччина,</w:t>
      </w:r>
      <w:r>
        <w:rPr>
          <w:rFonts w:ascii="Times New Roman" w:hAnsi="Times New Roman"/>
          <w:sz w:val="28"/>
          <w:szCs w:val="28"/>
        </w:rPr>
        <w:t xml:space="preserve"> </w:t>
      </w:r>
      <w:r w:rsidRPr="00F86652">
        <w:rPr>
          <w:rFonts w:ascii="Times New Roman" w:hAnsi="Times New Roman"/>
          <w:sz w:val="28"/>
          <w:szCs w:val="28"/>
        </w:rPr>
        <w:t xml:space="preserve">Португалія, Фінляндія, Франція) використовують єдину валюту ЄС – євро і входять до Європейського валютного союзу. Даний комплексний захід для свого ефективного функціонування вимагав прийняття правил, виконання яких стало обов’язковим для його членів.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Найбільш важливим документом валютного союзу є Пакт</w:t>
      </w:r>
      <w:r>
        <w:rPr>
          <w:rFonts w:ascii="Times New Roman" w:hAnsi="Times New Roman"/>
          <w:sz w:val="28"/>
          <w:szCs w:val="28"/>
        </w:rPr>
        <w:t xml:space="preserve"> </w:t>
      </w:r>
      <w:r w:rsidRPr="00F86652">
        <w:rPr>
          <w:rFonts w:ascii="Times New Roman" w:hAnsi="Times New Roman"/>
          <w:sz w:val="28"/>
          <w:szCs w:val="28"/>
        </w:rPr>
        <w:t>стабільності і зростання, який зобов’язує держави-члени виконувати правила бюджетної дисципліни в зоні євро. Річний дефіцит бюджету членів Євросоюзу не може перевищувати 3% ВВП, а загальний державний борг – 60% ВВП.</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 сучасних умовах більшість економічних процесів набувають глобального характеру і не піддаються регулюванню конкретними державами. ЄС відреагував на подібні тенденції, ввівши механізм так званого посиленого співробітництва, який вперше був апробований у Амстердамському договорі у 1997р. Його вплив посилився після підписання Ніццького договору в 2002р., а потім Лісабонського договору у 2009р. Успішна діяльність в межах договорів мотивує інші країни брати участь в активізації зусиль щодо співпраці [1, с. 2].</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Тенденції національної політики сприяють процесам конвергенції країн-членів ЄС, яка є результатом міжнародної інтеграції [2, с. 6].</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Розширення Європейського Союзу у 2004 та 2007рр. спричинило досить високу неоднорідність щодо рівня розвитку його країн-членів. Нові учасники </w:t>
      </w:r>
      <w:r w:rsidRPr="00F86652">
        <w:rPr>
          <w:rFonts w:ascii="Times New Roman" w:hAnsi="Times New Roman"/>
          <w:sz w:val="28"/>
          <w:szCs w:val="28"/>
        </w:rPr>
        <w:lastRenderedPageBreak/>
        <w:t>по багатьох показниках відстають від тих, що раніше ввійшли до ЄС-15. Всередині союзу створюються групи країн , які мають однакові чи близькі економічні показники.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Значна частина досліджень, що вивчають вплив інтеграції на фактори виробництва, починаються з використання теорії вирівнювання, розробленої Гекшером – Оліном – Самуельсоном. Так К.</w:t>
      </w:r>
      <w:r>
        <w:rPr>
          <w:rFonts w:ascii="Times New Roman" w:hAnsi="Times New Roman"/>
          <w:sz w:val="28"/>
          <w:szCs w:val="28"/>
        </w:rPr>
        <w:t xml:space="preserve"> </w:t>
      </w:r>
      <w:r w:rsidRPr="00F86652">
        <w:rPr>
          <w:rFonts w:ascii="Times New Roman" w:hAnsi="Times New Roman"/>
          <w:sz w:val="28"/>
          <w:szCs w:val="28"/>
        </w:rPr>
        <w:t>Моррісон та Ф.</w:t>
      </w:r>
      <w:r>
        <w:rPr>
          <w:rFonts w:ascii="Times New Roman" w:hAnsi="Times New Roman"/>
          <w:sz w:val="28"/>
          <w:szCs w:val="28"/>
        </w:rPr>
        <w:t xml:space="preserve"> </w:t>
      </w:r>
      <w:r w:rsidRPr="00F86652">
        <w:rPr>
          <w:rFonts w:ascii="Times New Roman" w:hAnsi="Times New Roman"/>
          <w:sz w:val="28"/>
          <w:szCs w:val="28"/>
        </w:rPr>
        <w:t>Муртін проаналізували нерівність доходів країн ЄС у 1970, 1980, 1990, 1995 і 1998 роках [3, с. 3-4].</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Гармонізація у сенсі обов’язковості на рівні ЄС не стосується соціальної політики – вона залишається за окремими державами.</w:t>
      </w:r>
      <w:r>
        <w:rPr>
          <w:rFonts w:ascii="Times New Roman" w:hAnsi="Times New Roman"/>
          <w:sz w:val="28"/>
          <w:szCs w:val="28"/>
        </w:rPr>
        <w:t xml:space="preserve"> </w:t>
      </w:r>
      <w:r w:rsidRPr="00F86652">
        <w:rPr>
          <w:rFonts w:ascii="Times New Roman" w:hAnsi="Times New Roman"/>
          <w:sz w:val="28"/>
          <w:szCs w:val="28"/>
        </w:rPr>
        <w:t>Проте ЄС впливає на неї через інші складові, особливо економічну і фінансову.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К.</w:t>
      </w:r>
      <w:r>
        <w:rPr>
          <w:rFonts w:ascii="Times New Roman" w:hAnsi="Times New Roman"/>
          <w:sz w:val="28"/>
          <w:szCs w:val="28"/>
        </w:rPr>
        <w:t xml:space="preserve"> </w:t>
      </w:r>
      <w:r w:rsidRPr="00F86652">
        <w:rPr>
          <w:rFonts w:ascii="Times New Roman" w:hAnsi="Times New Roman"/>
          <w:sz w:val="28"/>
          <w:szCs w:val="28"/>
        </w:rPr>
        <w:t>Киітто, В.</w:t>
      </w:r>
      <w:r>
        <w:rPr>
          <w:rFonts w:ascii="Times New Roman" w:hAnsi="Times New Roman"/>
          <w:sz w:val="28"/>
          <w:szCs w:val="28"/>
        </w:rPr>
        <w:t xml:space="preserve"> </w:t>
      </w:r>
      <w:r w:rsidRPr="00F86652">
        <w:rPr>
          <w:rFonts w:ascii="Times New Roman" w:hAnsi="Times New Roman"/>
          <w:sz w:val="28"/>
          <w:szCs w:val="28"/>
        </w:rPr>
        <w:t>Ян та Н.</w:t>
      </w:r>
      <w:r>
        <w:rPr>
          <w:rFonts w:ascii="Times New Roman" w:hAnsi="Times New Roman"/>
          <w:sz w:val="28"/>
          <w:szCs w:val="28"/>
        </w:rPr>
        <w:t xml:space="preserve"> </w:t>
      </w:r>
      <w:r w:rsidRPr="00F86652">
        <w:rPr>
          <w:rFonts w:ascii="Times New Roman" w:hAnsi="Times New Roman"/>
          <w:sz w:val="28"/>
          <w:szCs w:val="28"/>
        </w:rPr>
        <w:t>Дюпон зазначають, що соціальні видатки можуть бути ціллю фінансових заходів, спрямованих на обмеження витрат, що в результаті спричиняє спадний тренд конвергенції.</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На сьогодні рушійною силою європейської інтеграції є група з п’яти країн – Австрія, Нідерланди, Німеччина, Фінляндія та Франція. Найбільш однорідні серед них Австрія і Німеччина. Це країни соціальної ринкової економіки, яка поєднує в собі складові</w:t>
      </w:r>
      <w:r>
        <w:rPr>
          <w:rFonts w:ascii="Times New Roman" w:hAnsi="Times New Roman"/>
          <w:sz w:val="28"/>
          <w:szCs w:val="28"/>
        </w:rPr>
        <w:t xml:space="preserve"> </w:t>
      </w:r>
      <w:r w:rsidRPr="00F86652">
        <w:rPr>
          <w:rFonts w:ascii="Times New Roman" w:hAnsi="Times New Roman"/>
          <w:sz w:val="28"/>
          <w:szCs w:val="28"/>
        </w:rPr>
        <w:t>ринкової економіки та континентальної моделі економіки (її ще називають скандинавською). Створена сучасна змішана економіка, до якої вдалося дійти Німеччині, стала прикладом для наслідування іншими країнами ЄС. Зазначена держава поєднала ліберальні ідеї захисту прав власності</w:t>
      </w:r>
      <w:r>
        <w:rPr>
          <w:rFonts w:ascii="Times New Roman" w:hAnsi="Times New Roman"/>
          <w:sz w:val="28"/>
          <w:szCs w:val="28"/>
        </w:rPr>
        <w:t>,</w:t>
      </w:r>
      <w:r w:rsidRPr="00F86652">
        <w:rPr>
          <w:rFonts w:ascii="Times New Roman" w:hAnsi="Times New Roman"/>
          <w:sz w:val="28"/>
          <w:szCs w:val="28"/>
        </w:rPr>
        <w:t xml:space="preserve"> неспотвореної конкуренції з елементами державного регулювання економіки.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Членам ЄС є до чого прагнути. Економічна нерівність між новими і старими членами Європейського Союзу і досі достатньо висока та потребує багато зусиль і часу для її подолання [4, с. 25-29].</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Сьогодні європейські аналітики нерідко наголошують на необхідності кардинальних реформ усередині ЄС для того, щоб запобігти загрозі занепаду. Дещо вже зроблено, а тому необхідно здійснити спробу оцінки можливих наслідків інституційних перетворень в ЄС та їх впливу на «треті» країни, що особливо важливо для України, яка знаходиться в подібній ситуації.</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Механізм економічного і валютного союзу (ЕВС) було впроваджено</w:t>
      </w:r>
      <w:r>
        <w:rPr>
          <w:rFonts w:ascii="Times New Roman" w:hAnsi="Times New Roman"/>
          <w:sz w:val="28"/>
          <w:szCs w:val="28"/>
        </w:rPr>
        <w:t xml:space="preserve"> </w:t>
      </w:r>
      <w:r w:rsidRPr="00F86652">
        <w:rPr>
          <w:rFonts w:ascii="Times New Roman" w:hAnsi="Times New Roman"/>
          <w:sz w:val="28"/>
          <w:szCs w:val="28"/>
        </w:rPr>
        <w:t>в повному обсязі з 1 січня 1999р. через введення єдиної європейської валюти євро і створення європейської системи центральних банків на чолі з Європейським центральним банком (ЄЦБ), до якого перейшли повноваження із здійснення єдиної валютної політики [5;6].</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На сучасному етапі ЕВС,</w:t>
      </w:r>
      <w:r>
        <w:rPr>
          <w:rFonts w:ascii="Times New Roman" w:hAnsi="Times New Roman"/>
          <w:sz w:val="28"/>
          <w:szCs w:val="28"/>
        </w:rPr>
        <w:t xml:space="preserve"> </w:t>
      </w:r>
      <w:r w:rsidRPr="00F86652">
        <w:rPr>
          <w:rFonts w:ascii="Times New Roman" w:hAnsi="Times New Roman"/>
          <w:sz w:val="28"/>
          <w:szCs w:val="28"/>
        </w:rPr>
        <w:t xml:space="preserve">незважаючи на його досить інтенсивну роботу в частині спільних політичних декларацій і нормативно-правових актів, </w:t>
      </w:r>
      <w:r w:rsidRPr="00F86652">
        <w:rPr>
          <w:rFonts w:ascii="Times New Roman" w:hAnsi="Times New Roman"/>
          <w:sz w:val="28"/>
          <w:szCs w:val="28"/>
        </w:rPr>
        <w:lastRenderedPageBreak/>
        <w:t>стикається з викликами та істотними обмеженнями. До основних з них можна віднести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1. Досвід міжнародних інтеграційних процесів дає підстави вважати, що самі по собі інтеграційні заходи не призводять до економічних ефектів, а тільки забезпечують передумови для їх можливого отримання при проведенні оптимальної політики.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2. Наявність складного і суперечливого політичного середовища істотно модифікує питання національного суверенітету держав-учасниць. Наприклад результати прямих виборів 2014р. до Європарламенту призвели до певного зміцнення позицій єврокритиків (противників загальноєвропейських тенденцій).</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3. Збільшення розбіжностей в моделях національної економічної політики всередині ЄС, які не просто відмінні відносно кількісних параметрів, що характеризують стан макросистеми та соціальної сфери , а мають якісну природу, обґрунтовано заперечують тезу щодо єдиної для всіх «європейської моделі» розвитку.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4. Зростання функцій координації та вироблення спільної економічної політики вимагають відповідного нарощування апарату управлінців ЄС з неминучим збільшенням фінансування та зниженням оперативності у прийнятті рішень.</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Для України, серед іншого, це означає, що на сьогодні навіть орієнтовно неможливо оцінити обсяги витрат, які доведеться здійснити у зв’язку з виконанням зобов’язань за угодою про асоціацію. Адаптація проводитиметься щодо системи, яка сама швидко змінюється, а тому обсяг роботи для нашої держави постійно зростатиме.</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Для ЄС завершення формування ЕВС є головною проблемою при подоланні наслідків глобальної фінансово-економічної кризи та кризи в еврозоні, створенні умов для інноваційного розвитку європейської економіки та зміцнення її позицій у світогосподарському просторі.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Для України формування ЕВС створює як нові можливості, так і значні виклики та проблеми. Ефективно використати потенційні переваги та подолати перешкоди щодо ЕВС держава на даному етапі повинна в рамках імплементації положень Угоди про асоціацію, які будуть змінюватись, а завдання – наростати [7, с. 58-62].</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 Європейському Союзі характерною рисою є свідома відмова країн-членів від значної частини державного суверенітету на користь єврорегулювання для здійснення системної і послідовної інтеграції.</w:t>
      </w:r>
      <w:r>
        <w:rPr>
          <w:rFonts w:ascii="Times New Roman" w:hAnsi="Times New Roman"/>
          <w:sz w:val="28"/>
          <w:szCs w:val="28"/>
        </w:rPr>
        <w:t xml:space="preserve"> </w:t>
      </w:r>
      <w:r w:rsidRPr="00F86652">
        <w:rPr>
          <w:rFonts w:ascii="Times New Roman" w:hAnsi="Times New Roman"/>
          <w:sz w:val="28"/>
          <w:szCs w:val="28"/>
        </w:rPr>
        <w:t>В</w:t>
      </w:r>
      <w:r>
        <w:rPr>
          <w:rFonts w:ascii="Times New Roman" w:hAnsi="Times New Roman"/>
          <w:sz w:val="28"/>
          <w:szCs w:val="28"/>
        </w:rPr>
        <w:t> </w:t>
      </w:r>
      <w:r w:rsidRPr="00F86652">
        <w:rPr>
          <w:rFonts w:ascii="Times New Roman" w:hAnsi="Times New Roman"/>
          <w:sz w:val="28"/>
          <w:szCs w:val="28"/>
        </w:rPr>
        <w:t>Євросоюзі реалізована модель інтеграції, яка включає у себе:</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а)асоціацію вільної торгівлі;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lastRenderedPageBreak/>
        <w:t>б)митний союз;</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в)спільний ринок товарів, капіталу і робочої сили;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г)економічний та монетарний союз;</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д)політичний союз.</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Такі інститути як Європейська комісія, Європейський парламент, Європейська рада, Суд Європейського Союзу виступають структурами щодо реалізації рішень на континенті. Вони є складовими функціонування моделі союзу та формування механізмів просування національних інтересів на глобальному рівні.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Водночас питання міжнаціональної влади даних організацій є суперечливим, що пов’язано з остеріганням держав втратити суверенність внаслідок передачі повноважень. Проте тут мова йде не про відмову від державного суверенітету , а про об’єднання суверенітетів країн. Члени ЄС юридично залишаються незалежними [8].</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Прийняття рішень у важливих ідеологічних сферах зовнішньої і безпекової політики передбачає право вето для кожного з урядів країн – членів ЄС, що також гарантує їх політичну незалежність. Голосування кваліфікованою більшістю у зв’язку зі створенням спільного ринку товарів та послуг показало, що подолання торгових бар’єрів складає для членів Європейського Союзу більшу цінність, ніж можливість накласти вето.</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Роль наднаціональних інститутів ЄС необхідно розглядати з використанням наукових теорій інтеграції, кожна з яких пропонує власні засоби вирішення з урахуванням поглиблення кризи та прагнення країн-членів створити окремі національні економіки [9].</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Доцільно додати, що напрями, методи, масштаби і темпи глобальної інтеграції часто відмінні, оскільки визначаються такими параметрами: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структура економічного суверенітету держави, його посилення чи послаблення через регулювання суверенних прав при співпраці з міжнародними організаціями;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контроль над національним багатством і раціональне використання природних, людських, енергетичних та інформаційних ресурсів;</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система міжнародної безпеки, участь у військових союзах з метою підтримання національних інтересів та глобальної безпеки;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науково-технічний та інноваційний потенціали забезпечення високої конкурентоспроможності на світових ринках;</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рівень взаємозалежності країн у системі міжнародних відносин , що призводять до зменшення ваги і ролі державного суверенітету;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 рівність відносин у забезпеченні загальнолюдських цінностей;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lastRenderedPageBreak/>
        <w:t>- «ціна відкритості» економік, усунення дискримінації у процесі лібералізації руху товарів і послуг, робочої сили, фінансів [10, с. 44].</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 2008 році криза на американському ринку вивела з рівноваги всю глобальну економіку. Тоді Європа в цілому вистояла, але і для неї той рік став дуже важким . Збільшилася недовіра до рейтингів, загострилися протиріччя, почали наростати проблеми.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Найбільш слабким місцем в ЄС стало збереження в його країнах суверенітету фіскальної політики. Вважалося, що ця проблема буде вирішена в процесі конвергенції. Відповідно до Маастрихтського договору бюджетний дефіцит країн-учасниць валютного союзу не повинен перевищувати 3% ВВП, а державний борг – його 60% [11].</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Інструментом контролю виконання учасниками валютного союзу маастрихтських критеріїв, в тому числі через корекцію бюджетів та санкції за їх порушення, став </w:t>
      </w:r>
      <w:r>
        <w:rPr>
          <w:rFonts w:ascii="Times New Roman" w:hAnsi="Times New Roman"/>
          <w:sz w:val="28"/>
          <w:szCs w:val="28"/>
        </w:rPr>
        <w:t xml:space="preserve">вищезазначений </w:t>
      </w:r>
      <w:r w:rsidRPr="00F86652">
        <w:rPr>
          <w:rFonts w:ascii="Times New Roman" w:hAnsi="Times New Roman"/>
          <w:sz w:val="28"/>
          <w:szCs w:val="28"/>
        </w:rPr>
        <w:t>Пакт стабільності і зростання [12].</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При створенні валютного союзу в 1999р. показники всіх вступивших в нього 11 країн повністю відповідали встановленим критеріям по рівню інфляції (теж важливий показник) та бюджетного дефіциту. Проте норматив</w:t>
      </w:r>
      <w:r>
        <w:rPr>
          <w:rFonts w:ascii="Times New Roman" w:hAnsi="Times New Roman"/>
          <w:sz w:val="28"/>
          <w:szCs w:val="28"/>
        </w:rPr>
        <w:t xml:space="preserve"> </w:t>
      </w:r>
      <w:r w:rsidRPr="00F86652">
        <w:rPr>
          <w:rFonts w:ascii="Times New Roman" w:hAnsi="Times New Roman"/>
          <w:sz w:val="28"/>
          <w:szCs w:val="28"/>
        </w:rPr>
        <w:t>по розміру боргу виконувала</w:t>
      </w:r>
      <w:r>
        <w:rPr>
          <w:rFonts w:ascii="Times New Roman" w:hAnsi="Times New Roman"/>
          <w:sz w:val="28"/>
          <w:szCs w:val="28"/>
        </w:rPr>
        <w:t xml:space="preserve"> </w:t>
      </w:r>
      <w:r w:rsidRPr="00F86652">
        <w:rPr>
          <w:rFonts w:ascii="Times New Roman" w:hAnsi="Times New Roman"/>
          <w:sz w:val="28"/>
          <w:szCs w:val="28"/>
        </w:rPr>
        <w:t>тільки половина з них. У Німеччини борг складав біля 60% ВВП, а в деяких інших країнах перевищував нормативне значення, причому в Італії та Бельгії – більш ніж на 50%.</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 2005р. країни ЄС пішли на пом’якшення</w:t>
      </w:r>
      <w:r>
        <w:rPr>
          <w:rFonts w:ascii="Times New Roman" w:hAnsi="Times New Roman"/>
          <w:sz w:val="28"/>
          <w:szCs w:val="28"/>
        </w:rPr>
        <w:t xml:space="preserve"> </w:t>
      </w:r>
      <w:r w:rsidRPr="00F86652">
        <w:rPr>
          <w:rFonts w:ascii="Times New Roman" w:hAnsi="Times New Roman"/>
          <w:sz w:val="28"/>
          <w:szCs w:val="28"/>
        </w:rPr>
        <w:t>положень Пакту стабільності і зростання, які запропонували Німеччина і Франція, оскільки у цей час в них погіршився стан власних державних фінансів. Крім того дозволялося перевищення</w:t>
      </w:r>
      <w:r>
        <w:rPr>
          <w:rFonts w:ascii="Times New Roman" w:hAnsi="Times New Roman"/>
          <w:sz w:val="28"/>
          <w:szCs w:val="28"/>
        </w:rPr>
        <w:t xml:space="preserve"> </w:t>
      </w:r>
      <w:r w:rsidRPr="00F86652">
        <w:rPr>
          <w:rFonts w:ascii="Times New Roman" w:hAnsi="Times New Roman"/>
          <w:sz w:val="28"/>
          <w:szCs w:val="28"/>
        </w:rPr>
        <w:t>3%-го порогу</w:t>
      </w:r>
      <w:r>
        <w:rPr>
          <w:rFonts w:ascii="Times New Roman" w:hAnsi="Times New Roman"/>
          <w:sz w:val="28"/>
          <w:szCs w:val="28"/>
        </w:rPr>
        <w:t xml:space="preserve"> </w:t>
      </w:r>
      <w:r w:rsidRPr="00F86652">
        <w:rPr>
          <w:rFonts w:ascii="Times New Roman" w:hAnsi="Times New Roman"/>
          <w:sz w:val="28"/>
          <w:szCs w:val="28"/>
        </w:rPr>
        <w:t>бюджетного дефіциту пр</w:t>
      </w:r>
      <w:r>
        <w:rPr>
          <w:rFonts w:ascii="Times New Roman" w:hAnsi="Times New Roman"/>
          <w:sz w:val="28"/>
          <w:szCs w:val="28"/>
        </w:rPr>
        <w:t>отягом одного року</w:t>
      </w:r>
      <w:r w:rsidRPr="00F86652">
        <w:rPr>
          <w:rFonts w:ascii="Times New Roman" w:hAnsi="Times New Roman"/>
          <w:sz w:val="28"/>
          <w:szCs w:val="28"/>
        </w:rPr>
        <w:t xml:space="preserve"> якщо воно було пов’язано з «виключними обставинами».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Незабаром після вступу Греції, Ірландії, Іспанії та Португалії в Євросоюз інфляція в цих країнах стала вищою за встановлений поріг. Після 2004р. при загальному підвищенні інфляції в ЄС відхилення від встановленої межі Португалії та Ірландії дещо зменшилося, проте в Греції та Іспанії воно прийняло системний характер.</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Введення єдиної валюти вступило в протиріччя не тільки з фіскальним суверенітетом, але і з суверенітетом у сфері регулювання діяльності на фінансовому ринку.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Подібні проблеми продовжувалися і в подальшому. В Іспанії конфлікту інтересів сприяла діюча в ощадних банках модель корпоративного</w:t>
      </w:r>
      <w:r>
        <w:rPr>
          <w:rFonts w:ascii="Times New Roman" w:hAnsi="Times New Roman"/>
          <w:sz w:val="28"/>
          <w:szCs w:val="28"/>
        </w:rPr>
        <w:t xml:space="preserve"> </w:t>
      </w:r>
      <w:r w:rsidRPr="00F86652">
        <w:rPr>
          <w:rFonts w:ascii="Times New Roman" w:hAnsi="Times New Roman"/>
          <w:sz w:val="28"/>
          <w:szCs w:val="28"/>
        </w:rPr>
        <w:t xml:space="preserve">управління з участю в капіталі службовців та муніципальної влади. В Ірландії у 2003 – 2010рр. функції банківського нагляду здійснювались спеціальним агентством, формально відокремленим від центрального банку, можливості якого виявились недостатніми для ефективного контролю над ринком банківської </w:t>
      </w:r>
      <w:r w:rsidRPr="00F86652">
        <w:rPr>
          <w:rFonts w:ascii="Times New Roman" w:hAnsi="Times New Roman"/>
          <w:sz w:val="28"/>
          <w:szCs w:val="28"/>
        </w:rPr>
        <w:lastRenderedPageBreak/>
        <w:t>діяльності. В умовах кризи і післякризової рецесії стан бюджетів Іспанії та Ірландії різко погіршився – профіцит змінився на значний дефіцит.</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До кризи Греція інтенсивно нарощувала державні витрати на пенсійне забезпечення, медицину та освіту. Доходи відставали від витрат. Втративши</w:t>
      </w:r>
      <w:r>
        <w:rPr>
          <w:rFonts w:ascii="Times New Roman" w:hAnsi="Times New Roman"/>
          <w:sz w:val="28"/>
          <w:szCs w:val="28"/>
        </w:rPr>
        <w:t xml:space="preserve"> </w:t>
      </w:r>
      <w:r w:rsidRPr="00F86652">
        <w:rPr>
          <w:rFonts w:ascii="Times New Roman" w:hAnsi="Times New Roman"/>
          <w:sz w:val="28"/>
          <w:szCs w:val="28"/>
        </w:rPr>
        <w:t>доступ до</w:t>
      </w:r>
      <w:r>
        <w:rPr>
          <w:rFonts w:ascii="Times New Roman" w:hAnsi="Times New Roman"/>
          <w:sz w:val="28"/>
          <w:szCs w:val="28"/>
        </w:rPr>
        <w:t xml:space="preserve"> </w:t>
      </w:r>
      <w:r w:rsidRPr="00F86652">
        <w:rPr>
          <w:rFonts w:ascii="Times New Roman" w:hAnsi="Times New Roman"/>
          <w:sz w:val="28"/>
          <w:szCs w:val="28"/>
        </w:rPr>
        <w:t>ринків капіталу в якості суверенного боржника, країна була вимушена звернутися за допомогою до офіційних кредиторів. Для отримання допомоги керівництвом в 2010 – 2011рр. чотири рази приймалися програми стабілізації державних фінансів, які включали скорочення витрат на оплату праці в державному секторі, вирівнювання пенсійного віку чоловіків і жінок та його підвищення для державних службовців, підвищення ставок ПДВ і подоходного податку та інше. Незважаючи на прийняті заходи, за ці роки не вдалося скоротити бюджетний дефіцит настільки, щоб відновити платоспроможність.</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Сьогодні активно обговорюються різні сценарії майбутнього єврозони – від виходу із неї Греції і до відокремлення «півночі» від «півдня» по ініціативі лідерів (Німеччини і Франції). Зберігається суспільне неприйняття</w:t>
      </w:r>
      <w:r>
        <w:rPr>
          <w:rFonts w:ascii="Times New Roman" w:hAnsi="Times New Roman"/>
          <w:sz w:val="28"/>
          <w:szCs w:val="28"/>
        </w:rPr>
        <w:t xml:space="preserve"> </w:t>
      </w:r>
      <w:r w:rsidRPr="00F86652">
        <w:rPr>
          <w:rFonts w:ascii="Times New Roman" w:hAnsi="Times New Roman"/>
          <w:sz w:val="28"/>
          <w:szCs w:val="28"/>
        </w:rPr>
        <w:t>антикризових заходів у країнах, отримуючих офіційну допомогу, що обумовлено згортанням</w:t>
      </w:r>
      <w:r>
        <w:rPr>
          <w:rFonts w:ascii="Times New Roman" w:hAnsi="Times New Roman"/>
          <w:sz w:val="28"/>
          <w:szCs w:val="28"/>
        </w:rPr>
        <w:t xml:space="preserve"> </w:t>
      </w:r>
      <w:r w:rsidRPr="00F86652">
        <w:rPr>
          <w:rFonts w:ascii="Times New Roman" w:hAnsi="Times New Roman"/>
          <w:sz w:val="28"/>
          <w:szCs w:val="28"/>
        </w:rPr>
        <w:t>соціально орієнтованої бюджетної політики.</w:t>
      </w:r>
      <w:r>
        <w:rPr>
          <w:rFonts w:ascii="Times New Roman" w:hAnsi="Times New Roman"/>
          <w:sz w:val="28"/>
          <w:szCs w:val="28"/>
        </w:rPr>
        <w:t xml:space="preserve"> </w:t>
      </w:r>
      <w:r w:rsidRPr="00F86652">
        <w:rPr>
          <w:rFonts w:ascii="Times New Roman" w:hAnsi="Times New Roman"/>
          <w:sz w:val="28"/>
          <w:szCs w:val="28"/>
        </w:rPr>
        <w:t>В</w:t>
      </w:r>
      <w:r>
        <w:rPr>
          <w:rFonts w:ascii="Times New Roman" w:hAnsi="Times New Roman"/>
          <w:sz w:val="28"/>
          <w:szCs w:val="28"/>
        </w:rPr>
        <w:t> </w:t>
      </w:r>
      <w:r w:rsidRPr="00F86652">
        <w:rPr>
          <w:rFonts w:ascii="Times New Roman" w:hAnsi="Times New Roman"/>
          <w:sz w:val="28"/>
          <w:szCs w:val="28"/>
        </w:rPr>
        <w:t>країнах- донорах,</w:t>
      </w:r>
      <w:r>
        <w:rPr>
          <w:rFonts w:ascii="Times New Roman" w:hAnsi="Times New Roman"/>
          <w:sz w:val="28"/>
          <w:szCs w:val="28"/>
        </w:rPr>
        <w:t xml:space="preserve"> </w:t>
      </w:r>
      <w:r w:rsidRPr="00F86652">
        <w:rPr>
          <w:rFonts w:ascii="Times New Roman" w:hAnsi="Times New Roman"/>
          <w:sz w:val="28"/>
          <w:szCs w:val="28"/>
        </w:rPr>
        <w:t>у свою чергу, зростає невдоволення підвищенням затрат на підтримку членів</w:t>
      </w:r>
      <w:r>
        <w:rPr>
          <w:rFonts w:ascii="Times New Roman" w:hAnsi="Times New Roman"/>
          <w:sz w:val="28"/>
          <w:szCs w:val="28"/>
        </w:rPr>
        <w:t xml:space="preserve"> </w:t>
      </w:r>
      <w:r w:rsidRPr="00F86652">
        <w:rPr>
          <w:rFonts w:ascii="Times New Roman" w:hAnsi="Times New Roman"/>
          <w:sz w:val="28"/>
          <w:szCs w:val="28"/>
        </w:rPr>
        <w:t>єврозони, чий фінансовий стан не відповідає критеріям участі у валютному союзі.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Вихід «півдня» із єврозони означав би для учасників, що залишилися , втрату четверті сегмента економічного ринку, де розрахунки проводяться без курсових ризиків, що відповідає десятій частині їх сумарного експорту. Для самого «півдня» втрати будуть ще більшими якщо врахувати, що в Греції на торгівлю з партнерами по єврозоні приходиться більше 1/3 експорту, в Іспанії, Італії та Португалії – від 40 до 60%. В той же час для банківських систем Німеччини і Франції відокремлення «півдня» означатиме знецінення на 10-15% іноземних активів [13, с. 18-27].</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Збільшення бюджетних коштів призвело до значного підвищення «премії за ризик» для економічно відсталих країн та, відповідно, вартості обслуговування їх боргів. В результаті отримали замкнуте коло: кошти для покриття витрат за існуючими борговими зобов’язаннями залучалися під високі процентні ставки, що знову-таки збільшувало обсяги боргового навантаження. При цьому зростала дивергенція за державними облігаціями «південних» та «північних» країн єврозони, куди відтікали капітали (Нідерландів, Німеччини, Франції).</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Представники влади та експерти висловлюють різні точки зору на фундаментальні чинники наявної боргової кризи. Останнім часом переважає </w:t>
      </w:r>
      <w:r w:rsidRPr="00F86652">
        <w:rPr>
          <w:rFonts w:ascii="Times New Roman" w:hAnsi="Times New Roman"/>
          <w:sz w:val="28"/>
          <w:szCs w:val="28"/>
        </w:rPr>
        <w:lastRenderedPageBreak/>
        <w:t>думка, що таку глибоку кризу не варто пояснювати тільки порушенням фінансової дисципліни та невдалою політикою урядів конкретних країн. Найбільш вірогідно, що причина криється у внутрішніх дисбалансах Європейського Союзу.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Представники «німецького погляду» заявляють, що головною причиною проблем у єврозоні є якраз порушення фінансової дисципліни в окремих державах, а тому для їх подолання необхідно проводити жорстку фіскальну політику в периферійних країнах, що призведе до вирівнювання дисбалансів [14]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Протилежну точку зору називають «кейнсіанським поглядом», відповідно до якого великий борг у периферійних країнах став результатом внутрішньої кризи платіжного балансу в єврозоні. Криза проявляється, насамперед, у хронічних дефіцитах поточного рахунку, які в останній час стає неможливо фінансувати через використання боргового капіталу на ринкових взаємовигідних умовах[15].</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Далеко не всі країни єврозони проводили фінансову політику відповідно до Маастрихтських угод (таблиця 1), але зазначені розміри бюджетних дефіцитів у докризовий період </w:t>
      </w:r>
      <w:r>
        <w:rPr>
          <w:rFonts w:ascii="Times New Roman" w:hAnsi="Times New Roman"/>
          <w:sz w:val="28"/>
          <w:szCs w:val="28"/>
        </w:rPr>
        <w:t>характерні</w:t>
      </w:r>
      <w:r w:rsidRPr="00F86652">
        <w:rPr>
          <w:rFonts w:ascii="Times New Roman" w:hAnsi="Times New Roman"/>
          <w:sz w:val="28"/>
          <w:szCs w:val="28"/>
        </w:rPr>
        <w:t xml:space="preserve"> не тільки для «південних» країн, а й для Німеччини, Франції та інших локомотивів єврозони. Як наслідок, більшість країн напередодні глобальної фінансово-економічної кризи мали високий рівень державного боргу, серед них такі як Бельгія, Австрія, Німеччина, Франція. Зате Ірландія та Іспанія демонстрували високу фінансову дисципліну.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 результаті,</w:t>
      </w:r>
      <w:r>
        <w:rPr>
          <w:rFonts w:ascii="Times New Roman" w:hAnsi="Times New Roman"/>
          <w:sz w:val="28"/>
          <w:szCs w:val="28"/>
        </w:rPr>
        <w:t xml:space="preserve"> </w:t>
      </w:r>
      <w:r w:rsidRPr="00F86652">
        <w:rPr>
          <w:rFonts w:ascii="Times New Roman" w:hAnsi="Times New Roman"/>
          <w:sz w:val="28"/>
          <w:szCs w:val="28"/>
        </w:rPr>
        <w:t>як це не дивно, низький рівень державного боргу не допоміг запобігти кризі в Іспанії та Ірландії, а розвинуті країни з достатньо високим рівнем боргу та недисциплінованою фінансовою політикою залишаються</w:t>
      </w:r>
      <w:r>
        <w:rPr>
          <w:rFonts w:ascii="Times New Roman" w:hAnsi="Times New Roman"/>
          <w:sz w:val="28"/>
          <w:szCs w:val="28"/>
        </w:rPr>
        <w:t xml:space="preserve"> </w:t>
      </w:r>
      <w:r w:rsidRPr="00F86652">
        <w:rPr>
          <w:rFonts w:ascii="Times New Roman" w:hAnsi="Times New Roman"/>
          <w:sz w:val="28"/>
          <w:szCs w:val="28"/>
        </w:rPr>
        <w:t>локомотивами економіки</w:t>
      </w:r>
      <w:r>
        <w:rPr>
          <w:rFonts w:ascii="Times New Roman" w:hAnsi="Times New Roman"/>
          <w:sz w:val="28"/>
          <w:szCs w:val="28"/>
        </w:rPr>
        <w:t xml:space="preserve"> </w:t>
      </w:r>
      <w:r w:rsidRPr="00F86652">
        <w:rPr>
          <w:rFonts w:ascii="Times New Roman" w:hAnsi="Times New Roman"/>
          <w:sz w:val="28"/>
          <w:szCs w:val="28"/>
        </w:rPr>
        <w:t xml:space="preserve">єврозони і виступають кредиторами для держав – потенційних банкрутів.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Основна проблема</w:t>
      </w:r>
      <w:r>
        <w:rPr>
          <w:rFonts w:ascii="Times New Roman" w:hAnsi="Times New Roman"/>
          <w:sz w:val="28"/>
          <w:szCs w:val="28"/>
        </w:rPr>
        <w:t xml:space="preserve"> </w:t>
      </w:r>
      <w:r w:rsidRPr="00F86652">
        <w:rPr>
          <w:rFonts w:ascii="Times New Roman" w:hAnsi="Times New Roman"/>
          <w:sz w:val="28"/>
          <w:szCs w:val="28"/>
        </w:rPr>
        <w:t xml:space="preserve">єврозони полягає в тому, що механізм валютного регулювання не функціонує. Існуюча політика, націлена на підтримку платоспроможності проблемних країн, посилює дисбаланси і не може забезпечити вихід із кризового стану.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Малореально, що продовження фінансування дефіцитів платіжних балансів «південних» країн забезпечить рівновагу у єврозоні. Вірогідно подібні заходи триватимуть поки не вичерпаються можливості фінансово стабільних країн ЄС. Тоді припиниться підтримка проблемних держав і там відбудуться</w:t>
      </w:r>
      <w:r>
        <w:rPr>
          <w:rFonts w:ascii="Times New Roman" w:hAnsi="Times New Roman"/>
          <w:sz w:val="28"/>
          <w:szCs w:val="28"/>
        </w:rPr>
        <w:t xml:space="preserve"> </w:t>
      </w:r>
      <w:r w:rsidRPr="00F86652">
        <w:rPr>
          <w:rFonts w:ascii="Times New Roman" w:hAnsi="Times New Roman"/>
          <w:sz w:val="28"/>
          <w:szCs w:val="28"/>
        </w:rPr>
        <w:t xml:space="preserve">реальна девальвація, посилення конкурентоспроможності і в подальшому це стане одним з факторів відновлення рівноваги у Євросоюзі. </w:t>
      </w:r>
      <w:r w:rsidRPr="00F86652">
        <w:rPr>
          <w:rFonts w:ascii="Times New Roman" w:hAnsi="Times New Roman"/>
          <w:sz w:val="28"/>
          <w:szCs w:val="28"/>
        </w:rPr>
        <w:lastRenderedPageBreak/>
        <w:t>Поки що ЄС все ще далекий від розв’язання проблеми кризи платіжного балансу.</w:t>
      </w:r>
      <w:r>
        <w:rPr>
          <w:rFonts w:ascii="Times New Roman" w:hAnsi="Times New Roman"/>
          <w:sz w:val="28"/>
          <w:szCs w:val="28"/>
        </w:rPr>
        <w:t xml:space="preserve"> </w:t>
      </w:r>
    </w:p>
    <w:tbl>
      <w:tblPr>
        <w:tblW w:w="950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031"/>
        <w:gridCol w:w="1124"/>
        <w:gridCol w:w="1331"/>
        <w:gridCol w:w="2253"/>
        <w:gridCol w:w="2127"/>
      </w:tblGrid>
      <w:tr w:rsidR="00D7327C" w:rsidRPr="00F86652" w:rsidTr="00CC0895">
        <w:trPr>
          <w:trHeight w:val="945"/>
        </w:trPr>
        <w:tc>
          <w:tcPr>
            <w:tcW w:w="9506" w:type="dxa"/>
            <w:gridSpan w:val="6"/>
            <w:tcBorders>
              <w:top w:val="nil"/>
              <w:left w:val="nil"/>
              <w:bottom w:val="single" w:sz="4" w:space="0" w:color="auto"/>
              <w:right w:val="nil"/>
            </w:tcBorders>
          </w:tcPr>
          <w:p w:rsidR="00D7327C" w:rsidRPr="00F86652" w:rsidRDefault="00D7327C" w:rsidP="00CC0895">
            <w:pPr>
              <w:spacing w:after="0"/>
              <w:jc w:val="right"/>
              <w:rPr>
                <w:rFonts w:ascii="Times New Roman" w:hAnsi="Times New Roman"/>
                <w:sz w:val="28"/>
                <w:szCs w:val="28"/>
              </w:rPr>
            </w:pPr>
            <w:r w:rsidRPr="00F86652">
              <w:rPr>
                <w:rFonts w:ascii="Times New Roman" w:hAnsi="Times New Roman"/>
                <w:sz w:val="28"/>
                <w:szCs w:val="28"/>
              </w:rPr>
              <w:t>Таблиця 1</w:t>
            </w:r>
          </w:p>
          <w:p w:rsidR="00D7327C" w:rsidRPr="00F86652" w:rsidRDefault="00D7327C" w:rsidP="00CC0895">
            <w:pPr>
              <w:spacing w:after="0"/>
              <w:jc w:val="center"/>
              <w:rPr>
                <w:rFonts w:ascii="Times New Roman" w:hAnsi="Times New Roman"/>
                <w:sz w:val="28"/>
                <w:szCs w:val="28"/>
              </w:rPr>
            </w:pPr>
            <w:r w:rsidRPr="00F86652">
              <w:rPr>
                <w:rFonts w:ascii="Times New Roman" w:hAnsi="Times New Roman"/>
                <w:sz w:val="28"/>
                <w:szCs w:val="28"/>
              </w:rPr>
              <w:t>Державний борг та структурне сальдо бюджету в окремих країнах єврозони</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38"/>
        </w:trPr>
        <w:tc>
          <w:tcPr>
            <w:tcW w:w="1640" w:type="dxa"/>
            <w:vMerge w:val="restart"/>
            <w:tcBorders>
              <w:top w:val="single" w:sz="4" w:space="0" w:color="auto"/>
              <w:left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p>
          <w:p w:rsidR="00D7327C" w:rsidRPr="00F86652" w:rsidRDefault="00D7327C" w:rsidP="00CC0895">
            <w:pPr>
              <w:spacing w:after="0"/>
              <w:jc w:val="center"/>
              <w:rPr>
                <w:rFonts w:ascii="Times New Roman" w:hAnsi="Times New Roman"/>
                <w:b/>
                <w:sz w:val="24"/>
                <w:szCs w:val="24"/>
              </w:rPr>
            </w:pP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Країна</w:t>
            </w:r>
          </w:p>
        </w:tc>
        <w:tc>
          <w:tcPr>
            <w:tcW w:w="3486" w:type="dxa"/>
            <w:gridSpan w:val="3"/>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Державний борг,</w:t>
            </w: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 від ВВП</w:t>
            </w:r>
          </w:p>
        </w:tc>
        <w:tc>
          <w:tcPr>
            <w:tcW w:w="4380" w:type="dxa"/>
            <w:gridSpan w:val="2"/>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Структурне сальдо бюджету,</w:t>
            </w: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 від ВВП</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78"/>
        </w:trPr>
        <w:tc>
          <w:tcPr>
            <w:tcW w:w="1640" w:type="dxa"/>
            <w:vMerge/>
            <w:tcBorders>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2000р.</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2007р.</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2012р.</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середнє за</w:t>
            </w: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2001-2007рр.</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середнє за</w:t>
            </w:r>
          </w:p>
          <w:p w:rsidR="00D7327C" w:rsidRPr="00F86652" w:rsidRDefault="00D7327C" w:rsidP="00CC0895">
            <w:pPr>
              <w:spacing w:after="0"/>
              <w:jc w:val="center"/>
              <w:rPr>
                <w:rFonts w:ascii="Times New Roman" w:hAnsi="Times New Roman"/>
                <w:b/>
                <w:sz w:val="24"/>
                <w:szCs w:val="24"/>
              </w:rPr>
            </w:pPr>
            <w:r w:rsidRPr="00F86652">
              <w:rPr>
                <w:rFonts w:ascii="Times New Roman" w:hAnsi="Times New Roman"/>
                <w:b/>
                <w:sz w:val="24"/>
                <w:szCs w:val="24"/>
              </w:rPr>
              <w:t>2008-2012рр</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07"/>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Австрія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37,5</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25,0</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117,7</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-10,0</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60"/>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Бельгія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107,8</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84,0</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99,0</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0,3</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-3,3</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26"/>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Греція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103,4</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107,4</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170,7</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-6,8</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-13,2</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55"/>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Ірландія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37,5</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25,0</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117,7</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-10,0</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60"/>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Іспанія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59,4</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36,3</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90,7</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-7,2</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60"/>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Італія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108,5</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103,1</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126,3</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-4,7</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-3,4</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55"/>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Нідерланди</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53,8</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45,3</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68,2</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-3,5</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03"/>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Німеччина</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60,2</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65,4</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83,0</w:t>
            </w:r>
          </w:p>
        </w:tc>
        <w:tc>
          <w:tcPr>
            <w:tcW w:w="2253"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-1,3</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54"/>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Португалія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48,4</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68,3</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119,1</w:t>
            </w:r>
          </w:p>
        </w:tc>
        <w:tc>
          <w:tcPr>
            <w:tcW w:w="2253" w:type="dxa"/>
            <w:tcBorders>
              <w:top w:val="nil"/>
              <w:left w:val="single" w:sz="4" w:space="0" w:color="auto"/>
              <w:bottom w:val="single" w:sz="4" w:space="0" w:color="auto"/>
              <w:right w:val="nil"/>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-5,1</w:t>
            </w:r>
          </w:p>
        </w:tc>
        <w:tc>
          <w:tcPr>
            <w:tcW w:w="2127" w:type="dxa"/>
            <w:tcBorders>
              <w:top w:val="nil"/>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-7,6</w:t>
            </w:r>
          </w:p>
        </w:tc>
      </w:tr>
      <w:tr w:rsidR="00D7327C" w:rsidRPr="00F86652" w:rsidTr="00CC0895">
        <w:tblPrEx>
          <w:tblBorders>
            <w:left w:val="none" w:sz="0" w:space="0" w:color="auto"/>
            <w:bottom w:val="none" w:sz="0" w:space="0" w:color="auto"/>
            <w:right w:val="none" w:sz="0" w:space="0" w:color="auto"/>
            <w:insideH w:val="none" w:sz="0" w:space="0" w:color="auto"/>
            <w:insideV w:val="none" w:sz="0" w:space="0" w:color="auto"/>
          </w:tblBorders>
        </w:tblPrEx>
        <w:trPr>
          <w:trHeight w:val="164"/>
        </w:trPr>
        <w:tc>
          <w:tcPr>
            <w:tcW w:w="1640"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Фінляндія</w:t>
            </w:r>
          </w:p>
        </w:tc>
        <w:tc>
          <w:tcPr>
            <w:tcW w:w="10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43,8</w:t>
            </w:r>
          </w:p>
        </w:tc>
        <w:tc>
          <w:tcPr>
            <w:tcW w:w="1124"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35,2</w:t>
            </w:r>
          </w:p>
        </w:tc>
        <w:tc>
          <w:tcPr>
            <w:tcW w:w="1331"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52,6</w:t>
            </w:r>
          </w:p>
        </w:tc>
        <w:tc>
          <w:tcPr>
            <w:tcW w:w="2253" w:type="dxa"/>
            <w:tcBorders>
              <w:top w:val="single" w:sz="4" w:space="0" w:color="auto"/>
              <w:left w:val="single" w:sz="4" w:space="0" w:color="auto"/>
              <w:bottom w:val="single" w:sz="4" w:space="0" w:color="auto"/>
              <w:right w:val="nil"/>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3,7</w:t>
            </w:r>
          </w:p>
        </w:tc>
        <w:tc>
          <w:tcPr>
            <w:tcW w:w="2127" w:type="dxa"/>
            <w:tcBorders>
              <w:top w:val="single" w:sz="4" w:space="0" w:color="auto"/>
              <w:left w:val="single" w:sz="4" w:space="0" w:color="auto"/>
              <w:bottom w:val="single" w:sz="4" w:space="0" w:color="auto"/>
              <w:right w:val="single" w:sz="4" w:space="0" w:color="auto"/>
            </w:tcBorders>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0,7</w:t>
            </w:r>
          </w:p>
        </w:tc>
      </w:tr>
      <w:tr w:rsidR="00D7327C" w:rsidRPr="00F86652" w:rsidTr="00CC0895">
        <w:trPr>
          <w:trHeight w:val="435"/>
        </w:trPr>
        <w:tc>
          <w:tcPr>
            <w:tcW w:w="1640" w:type="dxa"/>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Франція</w:t>
            </w:r>
          </w:p>
        </w:tc>
        <w:tc>
          <w:tcPr>
            <w:tcW w:w="1031" w:type="dxa"/>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57,4</w:t>
            </w:r>
          </w:p>
        </w:tc>
        <w:tc>
          <w:tcPr>
            <w:tcW w:w="1124" w:type="dxa"/>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64,2</w:t>
            </w:r>
          </w:p>
        </w:tc>
        <w:tc>
          <w:tcPr>
            <w:tcW w:w="1331" w:type="dxa"/>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90,0</w:t>
            </w:r>
          </w:p>
        </w:tc>
        <w:tc>
          <w:tcPr>
            <w:tcW w:w="2253" w:type="dxa"/>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-3,0</w:t>
            </w:r>
          </w:p>
        </w:tc>
        <w:tc>
          <w:tcPr>
            <w:tcW w:w="2127" w:type="dxa"/>
          </w:tcPr>
          <w:p w:rsidR="00D7327C" w:rsidRPr="00F86652" w:rsidRDefault="00D7327C" w:rsidP="00CC0895">
            <w:pPr>
              <w:spacing w:after="0"/>
              <w:jc w:val="center"/>
              <w:rPr>
                <w:rFonts w:ascii="Times New Roman" w:hAnsi="Times New Roman"/>
                <w:sz w:val="24"/>
                <w:szCs w:val="24"/>
              </w:rPr>
            </w:pPr>
            <w:r w:rsidRPr="00F86652">
              <w:rPr>
                <w:rFonts w:ascii="Times New Roman" w:hAnsi="Times New Roman"/>
                <w:sz w:val="24"/>
                <w:szCs w:val="24"/>
              </w:rPr>
              <w:t>-3,9</w:t>
            </w:r>
          </w:p>
        </w:tc>
      </w:tr>
    </w:tbl>
    <w:p w:rsidR="00D7327C" w:rsidRPr="00F86652" w:rsidRDefault="00D7327C" w:rsidP="00D7327C">
      <w:pPr>
        <w:spacing w:after="0"/>
        <w:jc w:val="both"/>
        <w:rPr>
          <w:rFonts w:ascii="Times New Roman" w:hAnsi="Times New Roman"/>
          <w:sz w:val="24"/>
          <w:szCs w:val="24"/>
        </w:rPr>
      </w:pPr>
      <w:r w:rsidRPr="00F86652">
        <w:rPr>
          <w:rFonts w:ascii="Times New Roman" w:hAnsi="Times New Roman"/>
          <w:sz w:val="24"/>
          <w:szCs w:val="24"/>
        </w:rPr>
        <w:t>Джерело: [16]</w:t>
      </w:r>
    </w:p>
    <w:p w:rsidR="00D7327C" w:rsidRPr="00F86652" w:rsidRDefault="00D7327C" w:rsidP="00D7327C">
      <w:pPr>
        <w:spacing w:after="0"/>
        <w:ind w:firstLine="709"/>
        <w:jc w:val="both"/>
        <w:rPr>
          <w:rFonts w:ascii="Times New Roman" w:hAnsi="Times New Roman"/>
          <w:sz w:val="28"/>
          <w:szCs w:val="24"/>
        </w:rPr>
      </w:pP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Українська економіка має чимало спільного з «південними» країнами єврозони. Політика держави перед фінансовою кризою спрямовувалась на стимулювання внутрішнього попиту. Накопичені внаслідок такої політики та припливу іноземного капіталу величезні рівні дефіциту поточного і зовнішнього боргу призвели до валютної кризи, яка,</w:t>
      </w:r>
      <w:r>
        <w:rPr>
          <w:rFonts w:ascii="Times New Roman" w:hAnsi="Times New Roman"/>
          <w:sz w:val="28"/>
          <w:szCs w:val="28"/>
        </w:rPr>
        <w:t xml:space="preserve"> </w:t>
      </w:r>
      <w:r w:rsidRPr="00F86652">
        <w:rPr>
          <w:rFonts w:ascii="Times New Roman" w:hAnsi="Times New Roman"/>
          <w:sz w:val="28"/>
          <w:szCs w:val="28"/>
        </w:rPr>
        <w:t xml:space="preserve">за визначенням автора даного дослідження, переросла у тотальну фінансово-економічну кризу.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Ще один аспект зовнішніх дисбалансів полягає у можливій (і дуже бажаній для владних структур –</w:t>
      </w:r>
      <w:r>
        <w:rPr>
          <w:rFonts w:ascii="Times New Roman" w:hAnsi="Times New Roman"/>
          <w:sz w:val="28"/>
          <w:szCs w:val="28"/>
        </w:rPr>
        <w:t xml:space="preserve"> </w:t>
      </w:r>
      <w:r w:rsidRPr="00F86652">
        <w:rPr>
          <w:rFonts w:ascii="Times New Roman" w:hAnsi="Times New Roman"/>
          <w:sz w:val="28"/>
          <w:szCs w:val="28"/>
        </w:rPr>
        <w:t>авт.) участі України</w:t>
      </w:r>
      <w:r>
        <w:rPr>
          <w:rFonts w:ascii="Times New Roman" w:hAnsi="Times New Roman"/>
          <w:sz w:val="28"/>
          <w:szCs w:val="28"/>
        </w:rPr>
        <w:t xml:space="preserve"> в Європейському Союзі. До речі</w:t>
      </w:r>
      <w:r w:rsidRPr="00F86652">
        <w:rPr>
          <w:rFonts w:ascii="Times New Roman" w:hAnsi="Times New Roman"/>
          <w:sz w:val="28"/>
          <w:szCs w:val="28"/>
        </w:rPr>
        <w:t>, нещодавно з нього вийшла Великобританія, яка не побажала невпинно і у все зростаючих обсягах бути потужною країною-донором, хоча в економічному розумінні мала для цього всі можливості.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Повертаючись до нашої держави, приклади «південних» європейських країн засвідчують, що відмова від проведення власної монетарної політики на користь валютного союзу може призвести до серйозних проблем. Тому ухвалення такого рішення на державному рівні має базуватися на виконанні чисельних передумов у частині виваженої фіскальної політики, стабільної фінансової системи тощо, а не робитися в угоду політизованим гаслам щодо «європейського вибору, якому немає альтернативи» [16, с. 27,28].</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lastRenderedPageBreak/>
        <w:t>Проте якщо весь час аналізувати</w:t>
      </w:r>
      <w:r>
        <w:rPr>
          <w:rFonts w:ascii="Times New Roman" w:hAnsi="Times New Roman"/>
          <w:sz w:val="28"/>
          <w:szCs w:val="28"/>
        </w:rPr>
        <w:t xml:space="preserve"> </w:t>
      </w:r>
      <w:r w:rsidRPr="00F86652">
        <w:rPr>
          <w:rFonts w:ascii="Times New Roman" w:hAnsi="Times New Roman"/>
          <w:sz w:val="28"/>
          <w:szCs w:val="28"/>
        </w:rPr>
        <w:t>негативні (хоча і об’єктивні) фактори та ситуації, можна схилитися до односторонньої позиції. Спробуємо дещо врівноважити наше дослідження.</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Незважаючи на те, що єврокриза продовжується та еволюціонує, вихід Греції із зони євро, особливо після позачергових парламентських виборів 17 червня 2012р., дещо призупинився, хоча хмари над периферійними національними економіками все ще не розвіялися.</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До речі, ні окремі економісти, ні колективи експертів не змогли передбачити глобальної кризи, у якій продовжує перебувати світова економіка, і чітко розібратися в її механізмі. Тому залишається просто вірити, що майбутнє Європи, якщо враховувати геополітичне положення, рівень розвитку економіки і технологій, обсяги та структуру зовнішньої торгівлі, суму і якість зовнішньополітичних ресурсів, набагато більш оптимістичне, чим це бачиться багатьом спостерігачам.</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Можливості ЄС у зменшенні кризових явищ, врегулюванні конфліктів між його учасниками, безумовно, далеко не вичерпані. При всіх економічних та політичних негараздах існують і розвиваються особлива модель європейської цивілізації, специфічний західноєвропейський побут, поведінка, спосіб мислення та прийняття рішень тощо.</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Євросоюз накопичив майже півстолітній досвід інтеграції : (неоднорідність, як недолік ЄС – 27, в певній мірі компенсується розгалуженою регулятивною бюрократичною системою євроінститутів – 26 тис.</w:t>
      </w:r>
      <w:r>
        <w:rPr>
          <w:rFonts w:ascii="Times New Roman" w:hAnsi="Times New Roman"/>
          <w:sz w:val="28"/>
          <w:szCs w:val="28"/>
        </w:rPr>
        <w:t> </w:t>
      </w:r>
      <w:r w:rsidRPr="00F86652">
        <w:rPr>
          <w:rFonts w:ascii="Times New Roman" w:hAnsi="Times New Roman"/>
          <w:sz w:val="28"/>
          <w:szCs w:val="28"/>
        </w:rPr>
        <w:t xml:space="preserve">чол. тільки у центральних структурах Великого Брюсселя) [17].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ЄС видається достатньо міцним «центром сили», оскільки в ньому оптимально поєднані соціально-економічні, політичні і військові чинники традиційної європейської могутності. Проте якщо спрямування зусиль західноєвропейців у 50-60-х роках XX</w:t>
      </w:r>
      <w:r>
        <w:rPr>
          <w:rFonts w:ascii="Times New Roman" w:hAnsi="Times New Roman"/>
          <w:sz w:val="28"/>
          <w:szCs w:val="28"/>
        </w:rPr>
        <w:t xml:space="preserve"> </w:t>
      </w:r>
      <w:r w:rsidRPr="00F86652">
        <w:rPr>
          <w:rFonts w:ascii="Times New Roman" w:hAnsi="Times New Roman"/>
          <w:sz w:val="28"/>
          <w:szCs w:val="28"/>
        </w:rPr>
        <w:t>ст. було спробою зберегти лідерство, а інтеграція 70-90-х стала засобом розширення можливостей кожного учасника, то в XXI</w:t>
      </w:r>
      <w:r>
        <w:rPr>
          <w:rFonts w:ascii="Times New Roman" w:hAnsi="Times New Roman"/>
          <w:sz w:val="28"/>
          <w:szCs w:val="28"/>
        </w:rPr>
        <w:t xml:space="preserve"> </w:t>
      </w:r>
      <w:r w:rsidRPr="00F86652">
        <w:rPr>
          <w:rFonts w:ascii="Times New Roman" w:hAnsi="Times New Roman"/>
          <w:sz w:val="28"/>
          <w:szCs w:val="28"/>
        </w:rPr>
        <w:t>ст. збереження ЄС – неодмінна умова виживання при загостренні конкуренції в глобалізованому світі. При цьому політичне значення Європейського Союзу на сьогоднішній день переважає його реальні економічні і військові можливості.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ЄС не може претендувати на роль самостійного «центру сили» внаслідок слабкого розвитку силового компоненту, параметрів «жорсткої сили». Проте його культурно-історичний, соціально-економічний і гуманітарно-політичний вплив великі. На думку багатьох представників еліт і широких верств населення, Євросоюз (часто під ним мають на увазі всю Європу), незважаючи на сьогоднішні проблеми, залишається достатньо успішним взірцем комфортного гуманістичного розвитку і рівня життя населення.</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lastRenderedPageBreak/>
        <w:t>ЄС намагається, і це йому іноді вдається, виступати в якості «м’якого конкурента» США у вирішенні гострих міжнародно-політичних ситуацій (арабо-ізраїльський і палестино-ізраїльський конфлікти тощо). Водночас втрата глобальної перспективи суттєво підірвала його легітимність, сам сенс існування. Дестабілізація, конфлікти у країнах-членах підштовхують керівництво ЄС до більшої наполегливості у відчайдушних спробах врятувати єдину економічну зону євро.</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Для Європи критично важливо в якому напрямку відбудуться зміни у світогосподарській системі співвідношення основних «центрів сили». Відповідно в найближчому майбутньому умови партнерства між Євросоюзом і його головними союзниками також будуть переглядатися. На нашу думку, ситуація у США і КНР, завдяки централізованому управлінню і потужним внутрішнім ринкам, значно краща. В ЄС відсутній центральний ефективний нагляд, а країни-члени ведуть облік взаємних претензій та зобов’язань, часто не виконуючи узгоджених правил бюджетної політики.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Високий рівень оплати праці і соціальні гарантії є важким тягарем для економік членів ЄС. Навпаки, у конкурентів, особливо в Азіатсько-Тихоокеанському регіоні, подібна соціальна відповідальність відсутня і тому вони мають більш суттєві результати економічного зростання.</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Небезпечний довготерміновий виклик для Європи надають демографічні фактори, особливо старіння населення. До 2030р. 24% європейців досягнуть віку 64 роки. Це потребуватиме достатньо непопулярних соціальних реформ, змін імміграційної політики для залучення молодої робочої сили з інших регіонів. Водночас вихідці з цих країн створюють для членів ЄС і їх корінного населення проблеми в частині правопорядку, релігійних відносин, структури окремих міст і районів тощо.</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ЄС отримав великі негаразди</w:t>
      </w:r>
      <w:r>
        <w:rPr>
          <w:rFonts w:ascii="Times New Roman" w:hAnsi="Times New Roman"/>
          <w:sz w:val="28"/>
          <w:szCs w:val="28"/>
        </w:rPr>
        <w:t xml:space="preserve"> </w:t>
      </w:r>
      <w:r w:rsidRPr="00F86652">
        <w:rPr>
          <w:rFonts w:ascii="Times New Roman" w:hAnsi="Times New Roman"/>
          <w:sz w:val="28"/>
          <w:szCs w:val="28"/>
        </w:rPr>
        <w:t>не тільки у зв’язку з кризою євро. Ситуація пов’язана з необхідними реформами європейської моделі «суспільства загального добробуту». Потрібно вести пошук нових джерел для успішного макроекономічного зростання. Необхідна дійсно новітня економіка у вигляді «зеленого зростання», альтернативної енергетики та інше, що реалізує творчий потенціал на інноваційній основі.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Прагматичні розрахунки провідних політиків і вчених говорять, що модернізована соціально-ринкова економіка з потужним експортним потенціалом і новими можливостями буде краще служити Європі в її світовій конкуренції з іншими «центрами сили» [18, с.75-77].</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На сьогоднішній день ЄС з потугами вирішує проблему фінансування величезних боргів держави-члена з однією із самих малих економік – Кіпру. Ставши членом Європейського Союзу в період його найбільшого розширення </w:t>
      </w:r>
      <w:r w:rsidRPr="00F86652">
        <w:rPr>
          <w:rFonts w:ascii="Times New Roman" w:hAnsi="Times New Roman"/>
          <w:sz w:val="28"/>
          <w:szCs w:val="28"/>
        </w:rPr>
        <w:lastRenderedPageBreak/>
        <w:t>1 травня 2007р., Кіпр почав використовувати єдину європейську валюту одночасно з Мальтою і Словенією з першого січня 2008р.</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Населення цієї острівної держави нараховує 1,1 млн чол. ВВП на душу населення дорівнює</w:t>
      </w:r>
      <w:r>
        <w:rPr>
          <w:rFonts w:ascii="Times New Roman" w:hAnsi="Times New Roman"/>
          <w:sz w:val="28"/>
          <w:szCs w:val="28"/>
        </w:rPr>
        <w:t xml:space="preserve"> </w:t>
      </w:r>
      <w:r w:rsidRPr="00F86652">
        <w:rPr>
          <w:rFonts w:ascii="Times New Roman" w:hAnsi="Times New Roman"/>
          <w:sz w:val="28"/>
          <w:szCs w:val="28"/>
        </w:rPr>
        <w:t>21100 євро. Галузевий розподіл структури ВВП виглядає наступним чином: сільське господарство – 2,4%; промисловість – 16,7%; послуги – 80,9%. Послуги, як найбільш важлива складова економіки, складаються з туризму і фінансового сектора.</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Податок для юридичних осіб на Кіпрі в розмірі 10% робить країну податковим укриттям. Низькі податкові ставки залучили до кіпрської банківської системи вклади, обсяги яких у 8 раз перевищують ВВП країни. Фінансовий сектор кіпрської економіки грає дуже важливу роль. Обсяги депозитів порівняно з річним ВВП складають 717%. В державах Європейського Союзу у середньому цей показник складає 345%.</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 кіпрських банках на депозитах знаходиться близько 70 млрд євро. Вважається, що більше половини цих ресурсів належать іноземцям, особливо росіянам і британцям.</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Однією з основних причин кіпрської проблеми (фінансового дефіциту) є велика взаємозалежність з грецькою економікою. Греція протягом останніх років основний торговий партнер країни, на неї припадає 20% зовнішнього обігу. В 2012р. банки Кіпру не дорахувались 4,5 млрд євро в результаті реструктуризації грецького боргу. Грецькі державні облігації, практично втративши номінальну вартість, представляли собою біля 40% резервів найбільших банків цієї країни.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Починаючи з 2011р., Кіпр не в змозі фінансувати свій дефіцит на ринку облігацій. Тоді існувало тільки два варіанти подолання дефіциту фінансів, а саме займи від зовнішніх кредиторів або внутрішні ресурси. Фінансування із зовнішніх</w:t>
      </w:r>
      <w:r>
        <w:rPr>
          <w:rFonts w:ascii="Times New Roman" w:hAnsi="Times New Roman"/>
          <w:sz w:val="28"/>
          <w:szCs w:val="28"/>
        </w:rPr>
        <w:t xml:space="preserve"> </w:t>
      </w:r>
      <w:r w:rsidRPr="00F86652">
        <w:rPr>
          <w:rFonts w:ascii="Times New Roman" w:hAnsi="Times New Roman"/>
          <w:sz w:val="28"/>
          <w:szCs w:val="28"/>
        </w:rPr>
        <w:t>джерел здійснювалось через кредити ЄС, МВФ і Росії.</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Кіпр став п’ятою країною Євросоюзу, яка 25 липня 2012р. після Греції, Ірландії, Іспанії та Португалії звернулася до Європейського стабілізаційного механізму з метою отримання кредиту. У березні 2013р. став потрібний ще один кредит в значно більшому розмірі – 17,5 млрд євро – для врятування своїх фінансів, із них 10 млрд євро на відновлення ліквідності найбільш потужних банків. В іншому разі державі загрожували дефолт і вихід із валютного союзу. Проблеми Кіпру не вичерпані, вони продовжувались і в подальшому [19, с. 422-423].</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Агресія Росії по відношенню до України поставила перед Європейським Союзом</w:t>
      </w:r>
      <w:r>
        <w:rPr>
          <w:rFonts w:ascii="Times New Roman" w:hAnsi="Times New Roman"/>
          <w:sz w:val="28"/>
          <w:szCs w:val="28"/>
        </w:rPr>
        <w:t xml:space="preserve"> </w:t>
      </w:r>
      <w:r w:rsidRPr="00F86652">
        <w:rPr>
          <w:rFonts w:ascii="Times New Roman" w:hAnsi="Times New Roman"/>
          <w:sz w:val="28"/>
          <w:szCs w:val="28"/>
        </w:rPr>
        <w:t>питання щодо адекватного реагування, яке в основному виразилося у санкціях проти неправомірних дій Російської Федерації. Санкції, будемо рахувати, спрацювали.</w:t>
      </w:r>
      <w:r>
        <w:rPr>
          <w:rFonts w:ascii="Times New Roman" w:hAnsi="Times New Roman"/>
          <w:sz w:val="28"/>
          <w:szCs w:val="28"/>
        </w:rPr>
        <w:t xml:space="preserve"> </w:t>
      </w:r>
      <w:r w:rsidRPr="00F86652">
        <w:rPr>
          <w:rFonts w:ascii="Times New Roman" w:hAnsi="Times New Roman"/>
          <w:sz w:val="28"/>
          <w:szCs w:val="28"/>
        </w:rPr>
        <w:t>Водночас</w:t>
      </w:r>
      <w:r>
        <w:rPr>
          <w:rFonts w:ascii="Times New Roman" w:hAnsi="Times New Roman"/>
          <w:sz w:val="28"/>
          <w:szCs w:val="28"/>
        </w:rPr>
        <w:t xml:space="preserve"> </w:t>
      </w:r>
      <w:r w:rsidRPr="00F86652">
        <w:rPr>
          <w:rFonts w:ascii="Times New Roman" w:hAnsi="Times New Roman"/>
          <w:sz w:val="28"/>
          <w:szCs w:val="28"/>
        </w:rPr>
        <w:t xml:space="preserve">Росія приймає контрзаходи, які в певній мірі </w:t>
      </w:r>
      <w:r w:rsidRPr="00F86652">
        <w:rPr>
          <w:rFonts w:ascii="Times New Roman" w:hAnsi="Times New Roman"/>
          <w:sz w:val="28"/>
          <w:szCs w:val="28"/>
        </w:rPr>
        <w:lastRenderedPageBreak/>
        <w:t>негативно впливають на економіку країн ЄС, викликають невдоволення їх населення. Розглянемо економічні та організаційні аспекти цієї проблеми.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Можна виокремити чотири великі групи санкцій:</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дипломатичні – відкликання посла або проведення переговорів;</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фінансові – припинення фінансової допомоги, заборона надання міжнародних кредитів, замороження вкладів;</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 торговельні – обмеження експорту та імпорту, ембарго;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«розумні» (індивідуальні) – заборона на пересування (в’їзд) окремих представників фірм чи фізичних осіб.</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ЄС запровадили санкції у формі однакових для всіх та невідкладних заходів, як це передбачено в Маастрихтській угоді.</w:t>
      </w:r>
      <w:r>
        <w:rPr>
          <w:rFonts w:ascii="Times New Roman" w:hAnsi="Times New Roman"/>
          <w:sz w:val="28"/>
          <w:szCs w:val="28"/>
        </w:rPr>
        <w:t xml:space="preserve"> </w:t>
      </w:r>
      <w:r w:rsidRPr="00F86652">
        <w:rPr>
          <w:rFonts w:ascii="Times New Roman" w:hAnsi="Times New Roman"/>
          <w:sz w:val="28"/>
          <w:szCs w:val="28"/>
        </w:rPr>
        <w:t xml:space="preserve">З березня 2014р. було прийнято низку резолюцій щодо введення та розширення санкцій, які впроваджувалися в три етапи: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дипломатичні заходи проти 18 осіб, що звинувачувались в розкраданні державних коштів України;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замороження активів та заборона виїзду до ЄС осіб, внесених до списку;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фінансові та економічні санкції відносно окремих напрямків співпраці з Росією.</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Європейський Союз відіграє ключову роль у політиці міжнародних санкцій проти Росії, оскільки він має найбільший економічний вплив на неї, і водночас є найслабшою</w:t>
      </w:r>
      <w:r>
        <w:rPr>
          <w:rFonts w:ascii="Times New Roman" w:hAnsi="Times New Roman"/>
          <w:sz w:val="28"/>
          <w:szCs w:val="28"/>
        </w:rPr>
        <w:t xml:space="preserve"> </w:t>
      </w:r>
      <w:r w:rsidRPr="00F86652">
        <w:rPr>
          <w:rFonts w:ascii="Times New Roman" w:hAnsi="Times New Roman"/>
          <w:sz w:val="28"/>
          <w:szCs w:val="28"/>
        </w:rPr>
        <w:t>ланкою системи, тому що критично залежний від відносин – економіка деяких країн-членів тісно переплітається з російською, – роблячи важливим досягнення одностайних рішень, необхідних для продовження санкцій.</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Росія є третім за розміром торговельним</w:t>
      </w:r>
      <w:r>
        <w:rPr>
          <w:rFonts w:ascii="Times New Roman" w:hAnsi="Times New Roman"/>
          <w:sz w:val="28"/>
          <w:szCs w:val="28"/>
        </w:rPr>
        <w:t xml:space="preserve"> </w:t>
      </w:r>
      <w:r w:rsidRPr="00F86652">
        <w:rPr>
          <w:rFonts w:ascii="Times New Roman" w:hAnsi="Times New Roman"/>
          <w:sz w:val="28"/>
          <w:szCs w:val="28"/>
        </w:rPr>
        <w:t>партнером ЄС, а для Росії Європейський Союз взагалі найбільший партнер. Країни Євросоюзу до введення санкцій імпортували з Росії товарів і послуг на 206 млрд євро, в тому числі нафту і газ на 160 млрд євро. Тому</w:t>
      </w:r>
      <w:r>
        <w:rPr>
          <w:rFonts w:ascii="Times New Roman" w:hAnsi="Times New Roman"/>
          <w:sz w:val="28"/>
          <w:szCs w:val="28"/>
        </w:rPr>
        <w:t xml:space="preserve"> </w:t>
      </w:r>
      <w:r w:rsidRPr="00F86652">
        <w:rPr>
          <w:rFonts w:ascii="Times New Roman" w:hAnsi="Times New Roman"/>
          <w:sz w:val="28"/>
          <w:szCs w:val="28"/>
        </w:rPr>
        <w:t>питання про зворотній ефект</w:t>
      </w:r>
      <w:r>
        <w:rPr>
          <w:rFonts w:ascii="Times New Roman" w:hAnsi="Times New Roman"/>
          <w:sz w:val="28"/>
          <w:szCs w:val="28"/>
        </w:rPr>
        <w:t xml:space="preserve"> </w:t>
      </w:r>
      <w:r w:rsidRPr="00F86652">
        <w:rPr>
          <w:rFonts w:ascii="Times New Roman" w:hAnsi="Times New Roman"/>
          <w:sz w:val="28"/>
          <w:szCs w:val="28"/>
        </w:rPr>
        <w:t>обмежень на самі країни ЄС має досить важливе значення для розуміння їхньої політики в цьому спрямуванні.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Економіка країн Європи може постраждати від режиму санкцій в основному з двох причин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w:t>
      </w:r>
      <w:r>
        <w:rPr>
          <w:rFonts w:ascii="Times New Roman" w:hAnsi="Times New Roman"/>
          <w:sz w:val="28"/>
          <w:szCs w:val="28"/>
        </w:rPr>
        <w:t xml:space="preserve"> </w:t>
      </w:r>
      <w:r w:rsidRPr="00F86652">
        <w:rPr>
          <w:rFonts w:ascii="Times New Roman" w:hAnsi="Times New Roman"/>
          <w:sz w:val="28"/>
          <w:szCs w:val="28"/>
        </w:rPr>
        <w:t>заборони продажу технологій «подвійного призначення» для розробки родовищ нафти і газу;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w:t>
      </w:r>
      <w:r>
        <w:rPr>
          <w:rFonts w:ascii="Times New Roman" w:hAnsi="Times New Roman"/>
          <w:sz w:val="28"/>
          <w:szCs w:val="28"/>
        </w:rPr>
        <w:t xml:space="preserve"> </w:t>
      </w:r>
      <w:r w:rsidRPr="00F86652">
        <w:rPr>
          <w:rFonts w:ascii="Times New Roman" w:hAnsi="Times New Roman"/>
          <w:sz w:val="28"/>
          <w:szCs w:val="28"/>
        </w:rPr>
        <w:t>падіння курсу російського рубля (наприклад за 2014р. на 72%) негативно впливає на купівельну спроможність росіян і знижує їх попит на імпортну продукцію.</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lastRenderedPageBreak/>
        <w:t>Санкції досить помітно вплинули на Литву і Чехію. Крім того заборона імпорту до Росії харчової продукції з країн Заходу негативно позначилась на експорті такої продукції сумарно на 5 млрд євро, зокрема з Литви на 1 млрд євро, а також з Греції, Іспанії, Польщі та ін. Реальний вигляд мають оцінки експертів інвестиційного банку ING щодо ймовірної втрати робочих місць в цілому по ЄС на 27,7 тис.чол.</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За підсумками 2014р. експорт товарів з Європейського Союзу до Російської Федерації скоротився на 23 млрд дол. США, водночас експорт до інших країн збільшився</w:t>
      </w:r>
      <w:r>
        <w:rPr>
          <w:rFonts w:ascii="Times New Roman" w:hAnsi="Times New Roman"/>
          <w:sz w:val="28"/>
          <w:szCs w:val="28"/>
        </w:rPr>
        <w:t xml:space="preserve"> </w:t>
      </w:r>
      <w:r w:rsidRPr="00F86652">
        <w:rPr>
          <w:rFonts w:ascii="Times New Roman" w:hAnsi="Times New Roman"/>
          <w:sz w:val="28"/>
          <w:szCs w:val="28"/>
        </w:rPr>
        <w:t xml:space="preserve">на 184 млрд дол. Зростання експорту країн ЄС значною мірою відбулося за рахунок пожвавлення торгівлі в рамках самого Євросоюзу. Підсумовуючи, певні втрати від санкцій проти Росії ЄС, звичайно, поніс, проте вони далеко не критичні і не йдуть ні в яке порівняння із військовими загрозами, що нависли над Європою від </w:t>
      </w:r>
      <w:r>
        <w:rPr>
          <w:rFonts w:ascii="Times New Roman" w:hAnsi="Times New Roman"/>
          <w:sz w:val="28"/>
          <w:szCs w:val="28"/>
        </w:rPr>
        <w:t>схід</w:t>
      </w:r>
      <w:r w:rsidRPr="00F86652">
        <w:rPr>
          <w:rFonts w:ascii="Times New Roman" w:hAnsi="Times New Roman"/>
          <w:sz w:val="28"/>
          <w:szCs w:val="28"/>
        </w:rPr>
        <w:t>ного сусіда [20, с. 167-170].</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Третього грудня 2008р. Європейська комісія оприлюднила повідомлення про ініціативу «східне партнерство» (СП), що заклало основу для співпраці ЄС з Азербайджаном, Білорусією, Вірменією, Грузією, Молдовою і Україною. Ініціатива не повністю оригінальна. Вона продовжила напрямок розпочатої ще у 2003-2004 рр. Європейської політики сусідства, більш конкретно визначивши її східне спрямування.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СП з’явилося внаслідок поступової еволюції політики сусідства ЄС щодо держав Східної Європи та Південного Кавказу і стало першою ініціативою відносно системи зовнішніх контактів Європейського Союзу, спрямованої на шість східних держав у перспективі об’єднаної Європи. Водночас у зв’язку з відмінністю в підходах держав-членів ЄС до стосунків із східними сусідами, незважаючи на спочатку достатньо новаторські польсько-шведські пропозиції травня 2008р., остаточний формат ініціативи став більш стриманим [21].</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Порівнюючи СП з існуючими інструментами європейської політики, зазначимо, що ініціатива є більш привабливою ніж класична політика сусідства, оскільки йдеться про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регіональний фокус на європейських сусідах ЄС на відміну від «кільця друзів» із 16 держав, охоплених Європейською політикою сусідства;</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сама назва проекту вказує на перетворення країн-партнерів з об’єктів політики сусідства ЄС на суб’єктів партнерства;</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далекоглядними є окремі елементи концепції, зокрема</w:t>
      </w:r>
      <w:r>
        <w:rPr>
          <w:rFonts w:ascii="Times New Roman" w:hAnsi="Times New Roman"/>
          <w:sz w:val="28"/>
          <w:szCs w:val="28"/>
        </w:rPr>
        <w:t xml:space="preserve"> </w:t>
      </w:r>
      <w:r w:rsidRPr="00F86652">
        <w:rPr>
          <w:rFonts w:ascii="Times New Roman" w:hAnsi="Times New Roman"/>
          <w:sz w:val="28"/>
          <w:szCs w:val="28"/>
        </w:rPr>
        <w:t>багатосторонність, енергетична співпраця та інше.</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Проаналізуємо практичні результати партнерства в контексті реалізації цілей ЄС зі стабілізації та європеїзації. Позитивно, що воно отримало високу </w:t>
      </w:r>
      <w:r w:rsidRPr="00F86652">
        <w:rPr>
          <w:rFonts w:ascii="Times New Roman" w:hAnsi="Times New Roman"/>
          <w:sz w:val="28"/>
          <w:szCs w:val="28"/>
        </w:rPr>
        <w:lastRenderedPageBreak/>
        <w:t>оцінку як крок щодо подальшої інтеграції</w:t>
      </w:r>
      <w:r>
        <w:rPr>
          <w:rFonts w:ascii="Times New Roman" w:hAnsi="Times New Roman"/>
          <w:sz w:val="28"/>
          <w:szCs w:val="28"/>
        </w:rPr>
        <w:t xml:space="preserve"> </w:t>
      </w:r>
      <w:r w:rsidRPr="00F86652">
        <w:rPr>
          <w:rFonts w:ascii="Times New Roman" w:hAnsi="Times New Roman"/>
          <w:sz w:val="28"/>
          <w:szCs w:val="28"/>
        </w:rPr>
        <w:t>між південними та східними сусідами у межах Європейської політики сусідства та своєчасна ініціатива зміцнення її східного</w:t>
      </w:r>
      <w:r>
        <w:rPr>
          <w:rFonts w:ascii="Times New Roman" w:hAnsi="Times New Roman"/>
          <w:sz w:val="28"/>
          <w:szCs w:val="28"/>
        </w:rPr>
        <w:t xml:space="preserve"> </w:t>
      </w:r>
      <w:r w:rsidRPr="00F86652">
        <w:rPr>
          <w:rFonts w:ascii="Times New Roman" w:hAnsi="Times New Roman"/>
          <w:sz w:val="28"/>
          <w:szCs w:val="28"/>
        </w:rPr>
        <w:t>виміру [22, с.3-4]. З іншого боку, СП піддається критиці як фактор, ймовірно не здатний стимулювати позитивні зміни в країнах Східної Європи та Південного Кавказу.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Після підвищення активності ЄС щодо Східної Європи у 2008-2009рр., що було пов’язано з реакцією об’єднаної Європи на українсько-російській газовий і грузино-російський збройний конфлікти, спостерігається зниження зусиль Євросоюзу у східноєвропейському регіоні. Об’єднана Європа більше поглинута власними економічними та інституційними проблемами.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Крім того події в Північній Африці та на Близькому Сході повернули зовнішню політику ЄС на південь, а зміна у 2010р. правлячої команди в Україні та модифікація її зовнішньополітичного курсу взагалі поставили під сумнів успішність реалізації ключових цілей СП. Доводиться констатувати, що східне сусідство поки що</w:t>
      </w:r>
      <w:r>
        <w:rPr>
          <w:rFonts w:ascii="Times New Roman" w:hAnsi="Times New Roman"/>
          <w:sz w:val="28"/>
          <w:szCs w:val="28"/>
        </w:rPr>
        <w:t xml:space="preserve"> </w:t>
      </w:r>
      <w:r w:rsidRPr="00F86652">
        <w:rPr>
          <w:rFonts w:ascii="Times New Roman" w:hAnsi="Times New Roman"/>
          <w:sz w:val="28"/>
          <w:szCs w:val="28"/>
        </w:rPr>
        <w:t>не наближається до бажаного для Євросоюзу рівня безпеки, стабільності</w:t>
      </w:r>
      <w:r>
        <w:rPr>
          <w:rFonts w:ascii="Times New Roman" w:hAnsi="Times New Roman"/>
          <w:sz w:val="28"/>
          <w:szCs w:val="28"/>
        </w:rPr>
        <w:t xml:space="preserve"> </w:t>
      </w:r>
      <w:r w:rsidRPr="00F86652">
        <w:rPr>
          <w:rFonts w:ascii="Times New Roman" w:hAnsi="Times New Roman"/>
          <w:sz w:val="28"/>
          <w:szCs w:val="28"/>
        </w:rPr>
        <w:t>і добробуту. Авторитарні сусіди залишаються авторитарними, а демократичні – дуже нестабільними. Суттєвим дисбалансом у цих країнах продовжує бути корупція.</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Відсутність реального геополітичного змісту східного партнерства та постійне прагнення країн Європейського Союзу уникати протистояння з Російською Федерацією не зашкодило останній нарощувати свій вплив на східноєвропейські країни. Як зазначає Дж.</w:t>
      </w:r>
      <w:r>
        <w:rPr>
          <w:rFonts w:ascii="Times New Roman" w:hAnsi="Times New Roman"/>
          <w:sz w:val="28"/>
          <w:szCs w:val="28"/>
        </w:rPr>
        <w:t xml:space="preserve"> </w:t>
      </w:r>
      <w:r w:rsidRPr="00F86652">
        <w:rPr>
          <w:rFonts w:ascii="Times New Roman" w:hAnsi="Times New Roman"/>
          <w:sz w:val="28"/>
          <w:szCs w:val="28"/>
        </w:rPr>
        <w:t>Шерр, рішення української влади від 21 листопада 2013р., згідно з яким процес підготовки до підписання угоди про асоціацію між Україною та ЄС було призупинено, стало «перемогою для всіх, хто вважає, що Європа закінчується на кордоні з Україною»</w:t>
      </w:r>
      <w:r>
        <w:rPr>
          <w:rFonts w:ascii="Times New Roman" w:hAnsi="Times New Roman"/>
          <w:sz w:val="28"/>
          <w:szCs w:val="28"/>
        </w:rPr>
        <w:t xml:space="preserve"> </w:t>
      </w:r>
      <w:r w:rsidRPr="00F86652">
        <w:rPr>
          <w:rFonts w:ascii="Times New Roman" w:hAnsi="Times New Roman"/>
          <w:sz w:val="28"/>
          <w:szCs w:val="28"/>
        </w:rPr>
        <w:t>[23].</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Сьогодні зрозуміло, що Росія розпочала відкриту геополітичну боротьбу за панування у цьому регіоні, одним із вирішальних чинників якої є спроба зупинки євроінтеграційного напрямку України. Йдеться про тривалий економічний, а в останні роки і військовий, вплив у межах східноєвропейських та південнокавказьких країн. Ретельно продумані кроки Росії призвели до кардинальних змін у</w:t>
      </w:r>
      <w:r>
        <w:rPr>
          <w:rFonts w:ascii="Times New Roman" w:hAnsi="Times New Roman"/>
          <w:sz w:val="28"/>
          <w:szCs w:val="28"/>
        </w:rPr>
        <w:t xml:space="preserve"> </w:t>
      </w:r>
      <w:r w:rsidRPr="00F86652">
        <w:rPr>
          <w:rFonts w:ascii="Times New Roman" w:hAnsi="Times New Roman"/>
          <w:sz w:val="28"/>
          <w:szCs w:val="28"/>
        </w:rPr>
        <w:t xml:space="preserve">зовнішньополітичному курсі Вірменії, зокрема її рішення про вступ до Митного союзу у вересні 2013 р.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Європейський Союз ніколи не бажав розмовляти з Росією геополітичною мовою і не визнавав суперництва у Східній Європі. Надії покладалися на нормативний вплив та технократичні проекти. Найбільш проблемними аспектами територіального східного виміру європейської політики сусідства бачаться небажання і нездатність ЄС виробити чітку політичну позицію щодо майбутніх відносин із державами</w:t>
      </w:r>
      <w:r>
        <w:rPr>
          <w:rFonts w:ascii="Times New Roman" w:hAnsi="Times New Roman"/>
          <w:sz w:val="28"/>
          <w:szCs w:val="28"/>
        </w:rPr>
        <w:t xml:space="preserve"> </w:t>
      </w:r>
      <w:r w:rsidRPr="00F86652">
        <w:rPr>
          <w:rFonts w:ascii="Times New Roman" w:hAnsi="Times New Roman"/>
          <w:sz w:val="28"/>
          <w:szCs w:val="28"/>
        </w:rPr>
        <w:t xml:space="preserve">Східної Європи, не кажучи вже про можливість подальшого розширення на Схід. </w:t>
      </w:r>
      <w:r w:rsidRPr="00F86652">
        <w:rPr>
          <w:rFonts w:ascii="Times New Roman" w:hAnsi="Times New Roman"/>
          <w:sz w:val="28"/>
          <w:szCs w:val="28"/>
        </w:rPr>
        <w:lastRenderedPageBreak/>
        <w:t xml:space="preserve">Запропонувавши нову платформу співпраці (східне партнерство), Євросоюз намагається й надалі уникати прийняття суттєвих зобов’язань щодо східноєвропейських сусідів.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Подібна позиція, як зазначає К. Лонгхарст, залишається причиною невдоволення східних держав і може призвести до розколу у відносинах якщо Європейський Союз не запропонує принципово нову політичну формулу [23,с.27].</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Європі категорично не вистачає довготривалої концепції східної політики та її виконання. Як наголошує З. Бжезінський, «…з геополітичного погляду питання «де буде Європа через 40 років?» тісно пов’язано з майбутнім взаємин між Європою та її географічним сходом» [24,с.103-104].</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Концепція Східного партнерства потребує перегляду за такими напрямками: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реальні стимули, запропоновані спільнотою своїм сусідам;</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підтримка консолідації проєвропейських сил у цих державах, оскільки демократизація та інтеграція східноєвропейських країн із ЄС і конфронтація з Росією – це взаємопов’язані елементи [25, с. 175-179].</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Синхронна ратифікація Верховною Радою України і Європейським парламентом 16 вересня 2014 року</w:t>
      </w:r>
      <w:r>
        <w:rPr>
          <w:rFonts w:ascii="Times New Roman" w:hAnsi="Times New Roman"/>
          <w:sz w:val="28"/>
          <w:szCs w:val="28"/>
        </w:rPr>
        <w:t xml:space="preserve"> </w:t>
      </w:r>
      <w:r w:rsidRPr="00F86652">
        <w:rPr>
          <w:rFonts w:ascii="Times New Roman" w:hAnsi="Times New Roman"/>
          <w:sz w:val="28"/>
          <w:szCs w:val="28"/>
        </w:rPr>
        <w:t>Угоди про асоціацію між Україною та ЄС</w:t>
      </w:r>
      <w:r>
        <w:rPr>
          <w:rFonts w:ascii="Times New Roman" w:hAnsi="Times New Roman"/>
          <w:sz w:val="28"/>
          <w:szCs w:val="28"/>
        </w:rPr>
        <w:t xml:space="preserve">  </w:t>
      </w:r>
      <w:r w:rsidRPr="00F86652">
        <w:rPr>
          <w:rFonts w:ascii="Times New Roman" w:hAnsi="Times New Roman"/>
          <w:sz w:val="28"/>
          <w:szCs w:val="28"/>
        </w:rPr>
        <w:t>стала для нас особливо важливою подією [26]. Перед Україною постали нові виклики у вигляді проведення необхідних змін з метою подальшого впровадження документу. У свою чергу надскладна економічна ситуація, що існує в нашій державі внаслідок агресії Росії, зумов</w:t>
      </w:r>
      <w:r>
        <w:rPr>
          <w:rFonts w:ascii="Times New Roman" w:hAnsi="Times New Roman"/>
          <w:sz w:val="28"/>
          <w:szCs w:val="28"/>
        </w:rPr>
        <w:t>ила необхідність</w:t>
      </w:r>
      <w:r w:rsidRPr="00F86652">
        <w:rPr>
          <w:rFonts w:ascii="Times New Roman" w:hAnsi="Times New Roman"/>
          <w:sz w:val="28"/>
          <w:szCs w:val="28"/>
        </w:rPr>
        <w:t xml:space="preserve"> перегляду власної торговельної політики та визначення оптимальних партнерів щодо економічного співробітництва.</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Велика кількість укладених Європейським Союзом угод</w:t>
      </w:r>
      <w:r>
        <w:rPr>
          <w:rFonts w:ascii="Times New Roman" w:hAnsi="Times New Roman"/>
          <w:sz w:val="28"/>
          <w:szCs w:val="28"/>
        </w:rPr>
        <w:t xml:space="preserve"> </w:t>
      </w:r>
      <w:r w:rsidRPr="00F86652">
        <w:rPr>
          <w:rFonts w:ascii="Times New Roman" w:hAnsi="Times New Roman"/>
          <w:sz w:val="28"/>
          <w:szCs w:val="28"/>
        </w:rPr>
        <w:t>про асоціацію та зони вільної торгівлі з країнами світу створює певні труднощі відносно розуміння цілей проведення так званої політики ЄС «повного охоплення угодами країн світу» [26]. Водночас стає цілком очевидним, що шляхом укладання угод про створення зон вільної торгівлі, асоціацію та економічне партнерство Європейський Союз хоче полегшити доступ товарів власного виробництва на ринки різних країн світу та закріпити переваги у міжнародній торгівлі.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Укладання угод – це можливість для країн-партнерів наростити обсяги двосторонньої торгівлі, отримувати доступ до величезного внутрішнього ринку ЄС і провести нововведення, які сприятимуть впровадженню стандартів щодо життя і діяльності в цих країнах.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Зазначене обумовлює необхідність для України сприяти набуттю згаданою угодою законодавчої сили у повному обсязі після її ратифікації всіма</w:t>
      </w:r>
      <w:r>
        <w:rPr>
          <w:rFonts w:ascii="Times New Roman" w:hAnsi="Times New Roman"/>
          <w:sz w:val="28"/>
          <w:szCs w:val="28"/>
        </w:rPr>
        <w:t xml:space="preserve"> </w:t>
      </w:r>
      <w:r w:rsidRPr="00F86652">
        <w:rPr>
          <w:rFonts w:ascii="Times New Roman" w:hAnsi="Times New Roman"/>
          <w:sz w:val="28"/>
          <w:szCs w:val="28"/>
        </w:rPr>
        <w:lastRenderedPageBreak/>
        <w:t>країнами-членами ЄС (на даному етапі, на жаль, ми вже маємо відмову Нідерландів). Пріоритетами подальшого розвитку торговельних відносин можуть стати: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посилення торгівлі з Албанією, Боснією та Герцоговиною, Македонією і Сербією – країнами-кандидатами на вступ до ЄС;</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активні торгові відносини з Грузією та Молдовою – членами Східного партнерства.</w:t>
      </w:r>
      <w:r>
        <w:rPr>
          <w:rFonts w:ascii="Times New Roman" w:hAnsi="Times New Roman"/>
          <w:sz w:val="28"/>
          <w:szCs w:val="28"/>
        </w:rPr>
        <w:t xml:space="preserve">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Це надасть можливість в подальшому уникати ситуацій залежності від одного торговельного партнера, а також поглибити власну позицію в міжнародному співробітництві [ 27, с.130-131].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У рамках ЄС у 2010 році узгоджено і з того часу впроваджується загальноєвропейський документ «Європа – 2020: стратегія розумного, сталого і всеохоплюючого зростання». Реформа Спільної аграрної політики ( САП) ЄС на 2014-2020 рр. має надати свій внесок у реалізацію стратегії.</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Президент Європейської комісії Жозе Мануель Баррозу стверджував, що «…європейська стратегія «Європа – 2020» має відношення не тільки до держав всередині ЄС, але також може слугувати орієнтиром для держав-кандидатів і сусідів, які вибудовують свою політику, ґрунтуючись на запропонованих Європою цілях і задачах» [28].</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Зазначене важливо для України, яка продекларувала свій євроінтеграційний вектор і тепер має діяти за функціонуючими у Європі правилами та законами, зокрема й у сфері аграрного розвитку.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Попередня лінія САП ЄС виправдалася і подібний підхід збережено на 2014-2020 роки. Передбачені зміни стосуються основних напрямків розвитку сільських територій ЄС, а також таких пріоритетів [29]:</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1. Підвищення конкурентоспроможності і життєздатності всіх видів господарювання.</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2. Стимулювання ефективного використання ресурсів і перехід до низьковуглецевої та стійкої до змін клімату економіки сільського господарства, продовольчого і лісового секторів.</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3. Сприяння соціальній інтеграції, скороченню бідності і економічному розвитку.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4. Передача знань та інновацій у сільському та лісовому господарствах і у сільській місцевості.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5. Відновлення і збереження екосистем, які залежать від сільського і лісового господарства.</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6. Організація продовольчого ланцюга постачання і управління ризиками у сільському господарстві.</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lastRenderedPageBreak/>
        <w:t>Щоб виважено формувати національну аграрну політику з урахуванням пріоритетів ЄС та професійним відстоюванням національних інтересів, необхідне покращення доступу фахівців до</w:t>
      </w:r>
      <w:r>
        <w:rPr>
          <w:rFonts w:ascii="Times New Roman" w:hAnsi="Times New Roman"/>
          <w:sz w:val="28"/>
          <w:szCs w:val="28"/>
        </w:rPr>
        <w:t xml:space="preserve"> </w:t>
      </w:r>
      <w:r w:rsidRPr="00F86652">
        <w:rPr>
          <w:rFonts w:ascii="Times New Roman" w:hAnsi="Times New Roman"/>
          <w:sz w:val="28"/>
          <w:szCs w:val="28"/>
        </w:rPr>
        <w:t>офіційної інформації Євросоюзу, переклади нормативних документів у мережі Інтернет.</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Доцільно враховувати пріоритети САП ЄС на 2014-2020 рр. при формуванні національної аграрної політики та сільськогосподарської практики, узгодженні механізмів державного регулювання виробництва.</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Розвиток агросфери України на новітніх пріоритетах зробить сучасним ведення вітчизняного сільського господарства, дасть змогу зупинити несприятливі соціально-економічні процеси у цій сфері. До речі, зазначене, із поправкою на специфіку виробництва та послуг, стосується і всіх інших галузей господарського комплексу країни [30, с.92-96 ].</w:t>
      </w:r>
    </w:p>
    <w:p w:rsidR="00D7327C" w:rsidRPr="00F86652" w:rsidRDefault="00D7327C" w:rsidP="00D7327C">
      <w:pPr>
        <w:spacing w:after="0"/>
        <w:jc w:val="center"/>
        <w:rPr>
          <w:rFonts w:ascii="Times New Roman" w:hAnsi="Times New Roman"/>
          <w:b/>
          <w:sz w:val="28"/>
          <w:szCs w:val="28"/>
        </w:rPr>
      </w:pPr>
      <w:r w:rsidRPr="00F86652">
        <w:rPr>
          <w:rFonts w:ascii="Times New Roman" w:hAnsi="Times New Roman"/>
          <w:b/>
          <w:sz w:val="28"/>
          <w:szCs w:val="28"/>
        </w:rPr>
        <w:t>Висновки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1. Європейський Союз, з точки зору довготермінової перспективи, вірогідно,</w:t>
      </w:r>
      <w:r>
        <w:rPr>
          <w:rFonts w:ascii="Times New Roman" w:hAnsi="Times New Roman"/>
          <w:sz w:val="28"/>
          <w:szCs w:val="28"/>
        </w:rPr>
        <w:t xml:space="preserve"> </w:t>
      </w:r>
      <w:r w:rsidRPr="00F86652">
        <w:rPr>
          <w:rFonts w:ascii="Times New Roman" w:hAnsi="Times New Roman"/>
          <w:sz w:val="28"/>
          <w:szCs w:val="28"/>
        </w:rPr>
        <w:t>достатньо підготовлений для успішної конкуренції з Китаєм і навіть США. Він залишається найбільшою економікою ( 29% світового ВВП). На нього припадає 20% загального обсягу торгівлі. 32 ТНК ЄС входять до числа 100 найбільших ТНК світу. Господарський механізм досить міцний, а Європа у цілому має величезний історичний досвід.</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2. Починаючи з 01.01.2002 р., більшість країн-членів ЄС використовують єдину спільну валюту євро і входять до Європейського валютного союзу.</w:t>
      </w:r>
      <w:r>
        <w:rPr>
          <w:rFonts w:ascii="Times New Roman" w:hAnsi="Times New Roman"/>
          <w:sz w:val="28"/>
          <w:szCs w:val="28"/>
        </w:rPr>
        <w:t xml:space="preserve"> </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3. В Євросоюзі характерною рисою є свідома відмова країн-членів від значної частини державного суверенітету на користь єврорегулювання для здійснення системної і послідовної інтеграції. В Європі реалізована модель, яка включає у себе асоціацію вільної торгівлі, митний союз, спільний ринок товарів, капіталу і робочої сили, економічний та монетарний союз, політичний союз.</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4. Розширення Європейського Союзу у 2004 та 2007 рр. призвело до досить високої неоднорідності щодо ступеня розвитку країн-членів. Нові країни у багатьох питаннях відстають від тих, що раніше ввійшли до ЄС-15. Всередині союзу ситуативно створюються групи країн, які мають схожі економічні показники.</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5. Основна проблема єврозони полягає в тому, що механізм валютного регулювання не функціонує. Існуюча політика, націлена на підтримку платоспроможності проблемних країн, посилює дисбаланси і не може забезпечити вихід із кризового стану.</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 xml:space="preserve">6. Для України приклади «південних» європейських країн засвідчують, що відмова від проведення власної монетарної політики на користь валютного </w:t>
      </w:r>
      <w:r w:rsidRPr="00F86652">
        <w:rPr>
          <w:rFonts w:ascii="Times New Roman" w:hAnsi="Times New Roman"/>
          <w:sz w:val="28"/>
          <w:szCs w:val="28"/>
        </w:rPr>
        <w:lastRenderedPageBreak/>
        <w:t>союзу можна привести до серйозних проблем. Ухвалення такого рішення на державному рівні має базуватися на виконанні чисельних передумов у частині виваженої фіскальної політики, стабільної фінансової системи тощо, а не робитися</w:t>
      </w:r>
      <w:r>
        <w:rPr>
          <w:rFonts w:ascii="Times New Roman" w:hAnsi="Times New Roman"/>
          <w:sz w:val="28"/>
          <w:szCs w:val="28"/>
        </w:rPr>
        <w:t xml:space="preserve"> </w:t>
      </w:r>
      <w:r w:rsidRPr="00F86652">
        <w:rPr>
          <w:rFonts w:ascii="Times New Roman" w:hAnsi="Times New Roman"/>
          <w:sz w:val="28"/>
          <w:szCs w:val="28"/>
        </w:rPr>
        <w:t>в угоду політизованим гаслам щодо «європейського вибору, якому немає альтернатив».</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7. Звичайно, ЄС сам поніс певні втрати від санкцій проти Росії, проте вони далеко не критичні</w:t>
      </w:r>
      <w:r>
        <w:rPr>
          <w:rFonts w:ascii="Times New Roman" w:hAnsi="Times New Roman"/>
          <w:sz w:val="28"/>
          <w:szCs w:val="28"/>
        </w:rPr>
        <w:t xml:space="preserve"> </w:t>
      </w:r>
      <w:r w:rsidRPr="00F86652">
        <w:rPr>
          <w:rFonts w:ascii="Times New Roman" w:hAnsi="Times New Roman"/>
          <w:sz w:val="28"/>
          <w:szCs w:val="28"/>
        </w:rPr>
        <w:t xml:space="preserve">і не йдуть ні в яке порівняння із військовою загрозою, що нависла над Європою від </w:t>
      </w:r>
      <w:r>
        <w:rPr>
          <w:rFonts w:ascii="Times New Roman" w:hAnsi="Times New Roman"/>
          <w:sz w:val="28"/>
          <w:szCs w:val="28"/>
        </w:rPr>
        <w:t>схід</w:t>
      </w:r>
      <w:r w:rsidRPr="00F86652">
        <w:rPr>
          <w:rFonts w:ascii="Times New Roman" w:hAnsi="Times New Roman"/>
          <w:sz w:val="28"/>
          <w:szCs w:val="28"/>
        </w:rPr>
        <w:t>ного сусіда.</w:t>
      </w:r>
    </w:p>
    <w:p w:rsidR="00D7327C" w:rsidRPr="00F86652" w:rsidRDefault="00D7327C" w:rsidP="00D7327C">
      <w:pPr>
        <w:spacing w:after="0"/>
        <w:ind w:firstLine="709"/>
        <w:jc w:val="both"/>
        <w:rPr>
          <w:rFonts w:ascii="Times New Roman" w:hAnsi="Times New Roman"/>
          <w:sz w:val="28"/>
          <w:szCs w:val="28"/>
        </w:rPr>
      </w:pPr>
      <w:r w:rsidRPr="00F86652">
        <w:rPr>
          <w:rFonts w:ascii="Times New Roman" w:hAnsi="Times New Roman"/>
          <w:sz w:val="28"/>
          <w:szCs w:val="28"/>
        </w:rPr>
        <w:t>8. Концепція Східного партнерства з Європейським Союзом потребує перегляду за</w:t>
      </w:r>
      <w:r>
        <w:rPr>
          <w:rFonts w:ascii="Times New Roman" w:hAnsi="Times New Roman"/>
          <w:sz w:val="28"/>
          <w:szCs w:val="28"/>
        </w:rPr>
        <w:t xml:space="preserve"> </w:t>
      </w:r>
      <w:r w:rsidRPr="00F86652">
        <w:rPr>
          <w:rFonts w:ascii="Times New Roman" w:hAnsi="Times New Roman"/>
          <w:sz w:val="28"/>
          <w:szCs w:val="28"/>
        </w:rPr>
        <w:t>такими напрямками: реальні стимули, запропоновані спільнотою</w:t>
      </w:r>
      <w:r>
        <w:rPr>
          <w:rFonts w:ascii="Times New Roman" w:hAnsi="Times New Roman"/>
          <w:sz w:val="28"/>
          <w:szCs w:val="28"/>
        </w:rPr>
        <w:t xml:space="preserve"> </w:t>
      </w:r>
      <w:r w:rsidRPr="00F86652">
        <w:rPr>
          <w:rFonts w:ascii="Times New Roman" w:hAnsi="Times New Roman"/>
          <w:sz w:val="28"/>
          <w:szCs w:val="28"/>
        </w:rPr>
        <w:t>східним країнам; підтримка консолідації проєвропейських кіл у цих державах; врахування</w:t>
      </w:r>
      <w:r>
        <w:rPr>
          <w:rFonts w:ascii="Times New Roman" w:hAnsi="Times New Roman"/>
          <w:sz w:val="28"/>
          <w:szCs w:val="28"/>
        </w:rPr>
        <w:t xml:space="preserve"> </w:t>
      </w:r>
      <w:r w:rsidRPr="00F86652">
        <w:rPr>
          <w:rFonts w:ascii="Times New Roman" w:hAnsi="Times New Roman"/>
          <w:sz w:val="28"/>
          <w:szCs w:val="28"/>
        </w:rPr>
        <w:t>можливостей російського впливу в регіоні.</w:t>
      </w:r>
      <w:r>
        <w:rPr>
          <w:rFonts w:ascii="Times New Roman" w:hAnsi="Times New Roman"/>
          <w:sz w:val="28"/>
          <w:szCs w:val="28"/>
        </w:rPr>
        <w:t xml:space="preserve">   </w:t>
      </w:r>
      <w:r w:rsidRPr="00F86652">
        <w:rPr>
          <w:rFonts w:ascii="Times New Roman" w:hAnsi="Times New Roman"/>
          <w:sz w:val="28"/>
          <w:szCs w:val="28"/>
        </w:rPr>
        <w:t xml:space="preserve"> </w:t>
      </w:r>
    </w:p>
    <w:p w:rsidR="00D7327C" w:rsidRPr="00F86652" w:rsidRDefault="00D7327C" w:rsidP="00D7327C">
      <w:pPr>
        <w:tabs>
          <w:tab w:val="left" w:pos="142"/>
        </w:tabs>
        <w:spacing w:after="0"/>
        <w:jc w:val="center"/>
        <w:rPr>
          <w:rFonts w:ascii="Times New Roman" w:hAnsi="Times New Roman"/>
          <w:b/>
          <w:sz w:val="24"/>
          <w:szCs w:val="24"/>
        </w:rPr>
      </w:pPr>
      <w:r w:rsidRPr="00F86652">
        <w:rPr>
          <w:rFonts w:ascii="Times New Roman" w:hAnsi="Times New Roman"/>
          <w:b/>
          <w:sz w:val="24"/>
          <w:szCs w:val="24"/>
        </w:rPr>
        <w:t>Література</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 Ahrens J., Ohr R., Zeddies G. Enhanced Cooperation in an Enlarged EU.// Jahrbuch fuer Wirtschaftswissenschaften. – 2007. – vol. 58. – P. 130–150.</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 xml:space="preserve">2. Bouget D. Trends of Social Welfare Systems: from Convergence to Attractiveness. An Explanatory Approach.// Working Papers on the Reconciliation Work and Welfare in Europe. – 2009.– REC-WP13.- Available from: http://www.socialpolicy.ed.ac.uk/recowowepudiac /working_papers/rec-wp_13_09 </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 xml:space="preserve">3. Ghosh S., Faber G. Economic Integration in Europe and Income Divergence over EU Regions (1995-2006).// Tjalling C. Koopmans Research institute. – 2010. – Discussion paper No. 10-19 [Електронний ресурс]. – Режим доступу: http://igitur-archive.library.uu.nl/USE/2011-0110-200313/10-19.pdf </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4. Міхель Р. Процеси конвергенції між країни-членами ЄС/ Р. Міхель// Економіст.- 2013.-№2.-С.25-29.</w:t>
      </w:r>
    </w:p>
    <w:p w:rsidR="00D7327C" w:rsidRPr="00951C18" w:rsidRDefault="00D7327C" w:rsidP="00D7327C">
      <w:pPr>
        <w:tabs>
          <w:tab w:val="left" w:pos="142"/>
        </w:tabs>
        <w:spacing w:after="0"/>
        <w:ind w:firstLine="709"/>
        <w:jc w:val="both"/>
        <w:rPr>
          <w:rFonts w:ascii="Times New Roman" w:hAnsi="Times New Roman"/>
          <w:spacing w:val="-6"/>
          <w:sz w:val="26"/>
          <w:szCs w:val="26"/>
        </w:rPr>
      </w:pPr>
      <w:r w:rsidRPr="00951C18">
        <w:rPr>
          <w:rFonts w:ascii="Times New Roman" w:hAnsi="Times New Roman"/>
          <w:spacing w:val="-6"/>
          <w:sz w:val="26"/>
          <w:szCs w:val="26"/>
        </w:rPr>
        <w:t>5. Бурлай Т. В. Європейська інтеграція як мультисистемний інститут розвитку: переваги і межі ефективності // Економічна теорія. – 2012. – №3. – С.85-97.</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6. Грінченко Ю.</w:t>
      </w:r>
      <w:r>
        <w:rPr>
          <w:rFonts w:ascii="Times New Roman" w:hAnsi="Times New Roman"/>
          <w:sz w:val="26"/>
          <w:szCs w:val="26"/>
        </w:rPr>
        <w:t xml:space="preserve"> </w:t>
      </w:r>
      <w:r w:rsidRPr="00951C18">
        <w:rPr>
          <w:rFonts w:ascii="Times New Roman" w:hAnsi="Times New Roman"/>
          <w:sz w:val="26"/>
          <w:szCs w:val="26"/>
        </w:rPr>
        <w:t>Л. Інструменти макроекономічної політики в умовах економічного та валютного союзу// Вісник соціально-економічних досліджень. – 2012. – Вип.2. – С.46-54.</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7. Сіденко В.</w:t>
      </w:r>
      <w:r>
        <w:rPr>
          <w:rFonts w:ascii="Times New Roman" w:hAnsi="Times New Roman"/>
          <w:sz w:val="26"/>
          <w:szCs w:val="26"/>
        </w:rPr>
        <w:t xml:space="preserve"> </w:t>
      </w:r>
      <w:r w:rsidRPr="00951C18">
        <w:rPr>
          <w:rFonts w:ascii="Times New Roman" w:hAnsi="Times New Roman"/>
          <w:sz w:val="26"/>
          <w:szCs w:val="26"/>
        </w:rPr>
        <w:t>Р. Політика завершення формування Європейського економічного і валютного союзу: основні тенденції та можливі наслідки для України</w:t>
      </w:r>
      <w:r>
        <w:rPr>
          <w:rFonts w:ascii="Times New Roman" w:hAnsi="Times New Roman"/>
          <w:sz w:val="26"/>
          <w:szCs w:val="26"/>
        </w:rPr>
        <w:t xml:space="preserve"> </w:t>
      </w:r>
      <w:r w:rsidRPr="00951C18">
        <w:rPr>
          <w:rFonts w:ascii="Times New Roman" w:hAnsi="Times New Roman"/>
          <w:sz w:val="26"/>
          <w:szCs w:val="26"/>
        </w:rPr>
        <w:t>/ В.</w:t>
      </w:r>
      <w:r>
        <w:rPr>
          <w:rFonts w:ascii="Times New Roman" w:hAnsi="Times New Roman"/>
          <w:sz w:val="26"/>
          <w:szCs w:val="26"/>
        </w:rPr>
        <w:t xml:space="preserve"> </w:t>
      </w:r>
      <w:r w:rsidRPr="00951C18">
        <w:rPr>
          <w:rFonts w:ascii="Times New Roman" w:hAnsi="Times New Roman"/>
          <w:sz w:val="26"/>
          <w:szCs w:val="26"/>
        </w:rPr>
        <w:t>Р. Сіденко // Економіка України.-2014. - №10. – С.51-67.</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8. Войтенко І.</w:t>
      </w:r>
      <w:r>
        <w:rPr>
          <w:rFonts w:ascii="Times New Roman" w:hAnsi="Times New Roman"/>
          <w:sz w:val="26"/>
          <w:szCs w:val="26"/>
        </w:rPr>
        <w:t xml:space="preserve"> </w:t>
      </w:r>
      <w:r w:rsidRPr="00951C18">
        <w:rPr>
          <w:rFonts w:ascii="Times New Roman" w:hAnsi="Times New Roman"/>
          <w:sz w:val="26"/>
          <w:szCs w:val="26"/>
        </w:rPr>
        <w:t>Р. Наднаціональні інституції Європейського Союзу</w:t>
      </w:r>
      <w:r>
        <w:rPr>
          <w:rFonts w:ascii="Times New Roman" w:hAnsi="Times New Roman"/>
          <w:sz w:val="26"/>
          <w:szCs w:val="26"/>
        </w:rPr>
        <w:t xml:space="preserve"> </w:t>
      </w:r>
      <w:r w:rsidRPr="00951C18">
        <w:rPr>
          <w:rFonts w:ascii="Times New Roman" w:hAnsi="Times New Roman"/>
          <w:sz w:val="26"/>
          <w:szCs w:val="26"/>
        </w:rPr>
        <w:t>/ І.</w:t>
      </w:r>
      <w:r>
        <w:rPr>
          <w:rFonts w:ascii="Times New Roman" w:hAnsi="Times New Roman"/>
          <w:sz w:val="26"/>
          <w:szCs w:val="26"/>
        </w:rPr>
        <w:t> </w:t>
      </w:r>
      <w:r w:rsidRPr="00951C18">
        <w:rPr>
          <w:rFonts w:ascii="Times New Roman" w:hAnsi="Times New Roman"/>
          <w:sz w:val="26"/>
          <w:szCs w:val="26"/>
        </w:rPr>
        <w:t>Р.</w:t>
      </w:r>
      <w:r>
        <w:rPr>
          <w:rFonts w:ascii="Times New Roman" w:hAnsi="Times New Roman"/>
          <w:sz w:val="26"/>
          <w:szCs w:val="26"/>
        </w:rPr>
        <w:t> </w:t>
      </w:r>
      <w:r w:rsidRPr="00951C18">
        <w:rPr>
          <w:rFonts w:ascii="Times New Roman" w:hAnsi="Times New Roman"/>
          <w:sz w:val="26"/>
          <w:szCs w:val="26"/>
        </w:rPr>
        <w:t>Войтенко // Стратегічні пріоритети. – 2009. - №4 (13). – С.231-235.</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 xml:space="preserve">9. Чалий В. Євроінтеграція: чому Україні важливо зробити геополітичний вибір цього року. Інтернет-ресурс. Режим доступу </w:t>
      </w:r>
      <w:r w:rsidRPr="00D10C03">
        <w:rPr>
          <w:rFonts w:ascii="Times New Roman" w:hAnsi="Times New Roman"/>
          <w:sz w:val="26"/>
          <w:szCs w:val="26"/>
        </w:rPr>
        <w:t>http://www.razumkov.org.ua/</w:t>
      </w:r>
      <w:r>
        <w:rPr>
          <w:rFonts w:ascii="Times New Roman" w:hAnsi="Times New Roman"/>
          <w:sz w:val="26"/>
          <w:szCs w:val="26"/>
        </w:rPr>
        <w:t xml:space="preserve"> </w:t>
      </w:r>
      <w:r w:rsidRPr="00951C18">
        <w:rPr>
          <w:rFonts w:ascii="Times New Roman" w:hAnsi="Times New Roman"/>
          <w:sz w:val="26"/>
          <w:szCs w:val="26"/>
        </w:rPr>
        <w:t xml:space="preserve">ukr/article.php </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10. Бохан А.</w:t>
      </w:r>
      <w:r>
        <w:rPr>
          <w:rFonts w:ascii="Times New Roman" w:hAnsi="Times New Roman"/>
          <w:sz w:val="26"/>
          <w:szCs w:val="26"/>
        </w:rPr>
        <w:t xml:space="preserve"> </w:t>
      </w:r>
      <w:r w:rsidRPr="00951C18">
        <w:rPr>
          <w:rFonts w:ascii="Times New Roman" w:hAnsi="Times New Roman"/>
          <w:sz w:val="26"/>
          <w:szCs w:val="26"/>
        </w:rPr>
        <w:t>В. Економічний суверенітет європейських країн на засадах інтеграційного партнерства / А.</w:t>
      </w:r>
      <w:r>
        <w:rPr>
          <w:rFonts w:ascii="Times New Roman" w:hAnsi="Times New Roman"/>
          <w:sz w:val="26"/>
          <w:szCs w:val="26"/>
        </w:rPr>
        <w:t xml:space="preserve"> </w:t>
      </w:r>
      <w:r w:rsidRPr="00951C18">
        <w:rPr>
          <w:rFonts w:ascii="Times New Roman" w:hAnsi="Times New Roman"/>
          <w:sz w:val="26"/>
          <w:szCs w:val="26"/>
        </w:rPr>
        <w:t>В. Бохан // Формування ринкових відносин в Україні. – 2013. - №11. – С.41-45.</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lastRenderedPageBreak/>
        <w:t>11. Treaty on European Union. 7 February 1992 // Official Journal. 29.07.1992 (http://euc-lex.europa.eu/en/treatise/dat11992m/htm/11992M.html)</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12. Сouncil of the European Union Presidence Conclusion – brussels, 22 and 23 March 2005. Brussels, 23 March 2005 (</w:t>
      </w:r>
      <w:r w:rsidRPr="00D10C03">
        <w:rPr>
          <w:rFonts w:ascii="Times New Roman" w:hAnsi="Times New Roman"/>
          <w:sz w:val="26"/>
          <w:szCs w:val="26"/>
        </w:rPr>
        <w:t>http://ue.eu.int/ueDocs/cms_Data/docs/</w:t>
      </w:r>
      <w:r>
        <w:rPr>
          <w:rFonts w:ascii="Times New Roman" w:hAnsi="Times New Roman"/>
          <w:sz w:val="26"/>
          <w:szCs w:val="26"/>
        </w:rPr>
        <w:t xml:space="preserve"> </w:t>
      </w:r>
      <w:r w:rsidRPr="00951C18">
        <w:rPr>
          <w:rFonts w:ascii="Times New Roman" w:hAnsi="Times New Roman"/>
          <w:sz w:val="26"/>
          <w:szCs w:val="26"/>
        </w:rPr>
        <w:t>pressData/en/ec/84335.pdf)</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13. Черкасов В. Кризис в еврозоне: вызовы и ответы/ В. Черкасов, С.</w:t>
      </w:r>
      <w:r>
        <w:rPr>
          <w:rFonts w:ascii="Times New Roman" w:hAnsi="Times New Roman"/>
          <w:sz w:val="26"/>
          <w:szCs w:val="26"/>
        </w:rPr>
        <w:t> </w:t>
      </w:r>
      <w:r w:rsidRPr="00951C18">
        <w:rPr>
          <w:rFonts w:ascii="Times New Roman" w:hAnsi="Times New Roman"/>
          <w:sz w:val="26"/>
          <w:szCs w:val="26"/>
        </w:rPr>
        <w:t>Шарова</w:t>
      </w:r>
      <w:r>
        <w:rPr>
          <w:rFonts w:ascii="Times New Roman" w:hAnsi="Times New Roman"/>
          <w:sz w:val="26"/>
          <w:szCs w:val="26"/>
        </w:rPr>
        <w:t xml:space="preserve"> </w:t>
      </w:r>
      <w:r w:rsidRPr="00951C18">
        <w:rPr>
          <w:rFonts w:ascii="Times New Roman" w:hAnsi="Times New Roman"/>
          <w:sz w:val="26"/>
          <w:szCs w:val="26"/>
        </w:rPr>
        <w:t>// Экономика и международные отношения. – 2013. -№9. – С.12-24.</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14. Givazzi F., Spaventa L. Why the current account may matter in a monetary union: Lessons from the financial crisis in the Euro area. – CEPR Discussion Papers 8008, 2010. –</w:t>
      </w:r>
      <w:r>
        <w:rPr>
          <w:rFonts w:ascii="Times New Roman" w:hAnsi="Times New Roman"/>
          <w:sz w:val="26"/>
          <w:szCs w:val="26"/>
        </w:rPr>
        <w:t xml:space="preserve"> </w:t>
      </w:r>
      <w:r w:rsidRPr="00951C18">
        <w:rPr>
          <w:rFonts w:ascii="Times New Roman" w:hAnsi="Times New Roman"/>
          <w:sz w:val="26"/>
          <w:szCs w:val="26"/>
        </w:rPr>
        <w:t>P.410.</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15. Merler S., Pisani-Ferry J. Sudden stops in the euro area. – Policy Contributions 718, Bruegel, 2012. – P.387.</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16. Ніколайчук С. Криза в єврозоні: результат відсутності фіксальної дисципліни чи накопичення зовнішніх дисбалансів?/ С. Ніколайчук, В. Хом’як</w:t>
      </w:r>
      <w:r>
        <w:rPr>
          <w:rFonts w:ascii="Times New Roman" w:hAnsi="Times New Roman"/>
          <w:sz w:val="26"/>
          <w:szCs w:val="26"/>
        </w:rPr>
        <w:t xml:space="preserve"> </w:t>
      </w:r>
      <w:r w:rsidRPr="00951C18">
        <w:rPr>
          <w:rFonts w:ascii="Times New Roman" w:hAnsi="Times New Roman"/>
          <w:sz w:val="26"/>
          <w:szCs w:val="26"/>
        </w:rPr>
        <w:t>// Вісник НБУ. – 2013. – №2. – С.22-28.</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17. Воронов К. Глобальный кризис: подрыв системы международной безопасности // МЭ и МО. 2012.- №8. – С.89-97.</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18. Воронов К. Евросоюз в контркризисной конкуренции « центров силы» : потенциал, реалии, надежды / К. Воронов // Мировая экономика и международные отношения. – 2013.- №3. – С.68-77.</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19. Липкова Л. Кризис в южной перифирии еврозоны – пример Кипра</w:t>
      </w:r>
      <w:r>
        <w:rPr>
          <w:rFonts w:ascii="Times New Roman" w:hAnsi="Times New Roman"/>
          <w:sz w:val="26"/>
          <w:szCs w:val="26"/>
        </w:rPr>
        <w:t xml:space="preserve"> </w:t>
      </w:r>
      <w:r w:rsidRPr="00951C18">
        <w:rPr>
          <w:rFonts w:ascii="Times New Roman" w:hAnsi="Times New Roman"/>
          <w:sz w:val="26"/>
          <w:szCs w:val="26"/>
        </w:rPr>
        <w:t>/</w:t>
      </w:r>
      <w:r>
        <w:rPr>
          <w:rFonts w:ascii="Times New Roman" w:hAnsi="Times New Roman"/>
          <w:sz w:val="26"/>
          <w:szCs w:val="26"/>
        </w:rPr>
        <w:t xml:space="preserve"> </w:t>
      </w:r>
      <w:r w:rsidRPr="00951C18">
        <w:rPr>
          <w:rFonts w:ascii="Times New Roman" w:hAnsi="Times New Roman"/>
          <w:sz w:val="26"/>
          <w:szCs w:val="26"/>
        </w:rPr>
        <w:t>Л.</w:t>
      </w:r>
      <w:r>
        <w:rPr>
          <w:rFonts w:ascii="Times New Roman" w:hAnsi="Times New Roman"/>
          <w:sz w:val="26"/>
          <w:szCs w:val="26"/>
        </w:rPr>
        <w:t> </w:t>
      </w:r>
      <w:r w:rsidRPr="00951C18">
        <w:rPr>
          <w:rFonts w:ascii="Times New Roman" w:hAnsi="Times New Roman"/>
          <w:sz w:val="26"/>
          <w:szCs w:val="26"/>
        </w:rPr>
        <w:t>Липкова //</w:t>
      </w:r>
      <w:r>
        <w:rPr>
          <w:rFonts w:ascii="Times New Roman" w:hAnsi="Times New Roman"/>
          <w:sz w:val="26"/>
          <w:szCs w:val="26"/>
        </w:rPr>
        <w:t xml:space="preserve"> </w:t>
      </w:r>
      <w:r w:rsidRPr="00951C18">
        <w:rPr>
          <w:rFonts w:ascii="Times New Roman" w:hAnsi="Times New Roman"/>
          <w:sz w:val="26"/>
          <w:szCs w:val="26"/>
        </w:rPr>
        <w:t>Актуальні проблеми економіки. – 2013. -№12. – С.419-428.</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20. Шаров О. Економіка ЄС: санкції проти Росії та їхній зворотній вплив / О.</w:t>
      </w:r>
      <w:r>
        <w:rPr>
          <w:rFonts w:ascii="Times New Roman" w:hAnsi="Times New Roman"/>
          <w:sz w:val="26"/>
          <w:szCs w:val="26"/>
        </w:rPr>
        <w:t> </w:t>
      </w:r>
      <w:r w:rsidRPr="00951C18">
        <w:rPr>
          <w:rFonts w:ascii="Times New Roman" w:hAnsi="Times New Roman"/>
          <w:sz w:val="26"/>
          <w:szCs w:val="26"/>
        </w:rPr>
        <w:t>Шаров //</w:t>
      </w:r>
      <w:r>
        <w:rPr>
          <w:rFonts w:ascii="Times New Roman" w:hAnsi="Times New Roman"/>
          <w:sz w:val="26"/>
          <w:szCs w:val="26"/>
        </w:rPr>
        <w:t xml:space="preserve"> </w:t>
      </w:r>
      <w:r w:rsidRPr="00951C18">
        <w:rPr>
          <w:rFonts w:ascii="Times New Roman" w:hAnsi="Times New Roman"/>
          <w:sz w:val="26"/>
          <w:szCs w:val="26"/>
        </w:rPr>
        <w:t>Журнал європейської економіки. – 2015. - №2. – С.166-182.</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21. Propozycja Polsko-Szwedzka: Partnerstwo Wschodnie.–2008.–Maj / Ministerstwo Spraw Zagraniznych Rzeczypospolitej Polskil [Електронний ресурс]. Режим доступу: http:www.msz.grov.pl/files/PARYNERSTWO%20WSCHODNIE/</w:t>
      </w:r>
      <w:r>
        <w:rPr>
          <w:rFonts w:ascii="Times New Roman" w:hAnsi="Times New Roman"/>
          <w:sz w:val="26"/>
          <w:szCs w:val="26"/>
        </w:rPr>
        <w:t xml:space="preserve"> </w:t>
      </w:r>
      <w:r w:rsidRPr="00951C18">
        <w:rPr>
          <w:rFonts w:ascii="Times New Roman" w:hAnsi="Times New Roman"/>
          <w:sz w:val="26"/>
          <w:szCs w:val="26"/>
        </w:rPr>
        <w:t xml:space="preserve">1PL.pdf </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22. Longhurst K.Injecting More Differentiation in Eropean Neighbourhood Policy: What Consequences for Ukrain? / K. Longhurst // Russie. Nai.Visions. – 2008/ - №32. – P.28</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23. Шерр Дж. Україна – Росія – Європа: отруєний трикутник/Дж. Шерр</w:t>
      </w:r>
      <w:r>
        <w:rPr>
          <w:rFonts w:ascii="Times New Roman" w:hAnsi="Times New Roman"/>
          <w:sz w:val="26"/>
          <w:szCs w:val="26"/>
        </w:rPr>
        <w:t xml:space="preserve"> </w:t>
      </w:r>
      <w:r w:rsidRPr="00951C18">
        <w:rPr>
          <w:rFonts w:ascii="Times New Roman" w:hAnsi="Times New Roman"/>
          <w:sz w:val="26"/>
          <w:szCs w:val="26"/>
        </w:rPr>
        <w:t>// Дзеркало тижня. – 2013. - №47. – 13-20 грудня.</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24. Бжезінський З. Стратегічне бачення: Америка і криза глобальної влади / З.</w:t>
      </w:r>
      <w:r>
        <w:rPr>
          <w:rFonts w:ascii="Times New Roman" w:hAnsi="Times New Roman"/>
          <w:sz w:val="26"/>
          <w:szCs w:val="26"/>
        </w:rPr>
        <w:t> </w:t>
      </w:r>
      <w:r w:rsidRPr="00951C18">
        <w:rPr>
          <w:rFonts w:ascii="Times New Roman" w:hAnsi="Times New Roman"/>
          <w:sz w:val="26"/>
          <w:szCs w:val="26"/>
        </w:rPr>
        <w:t>Бжезінський. – Львів: Літопис, 2012. – 168с.</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25. Сидорчук Т. В. П’ять років східного партнерства ЄС: результати та перспективи / Т. В. Сидорчук// Стратегічні пріоритети. – 2014. - №1. – С.175-180.</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 xml:space="preserve">26. Верховна Рада України ухвалила Закон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сторони/Офіційний сайт Верховної Ради України [Електронний ресурс]. – </w:t>
      </w:r>
      <w:r w:rsidRPr="00951C18">
        <w:rPr>
          <w:rFonts w:ascii="Times New Roman" w:hAnsi="Times New Roman"/>
          <w:sz w:val="26"/>
          <w:szCs w:val="26"/>
        </w:rPr>
        <w:lastRenderedPageBreak/>
        <w:t>16.09.2014. – Режим доступу: http//iportal.rada.gov.ua/news/Novyny/Povidomlennya/</w:t>
      </w:r>
      <w:r>
        <w:rPr>
          <w:rFonts w:ascii="Times New Roman" w:hAnsi="Times New Roman"/>
          <w:sz w:val="26"/>
          <w:szCs w:val="26"/>
        </w:rPr>
        <w:t xml:space="preserve"> </w:t>
      </w:r>
      <w:r w:rsidRPr="00951C18">
        <w:rPr>
          <w:rFonts w:ascii="Times New Roman" w:hAnsi="Times New Roman"/>
          <w:sz w:val="26"/>
          <w:szCs w:val="26"/>
        </w:rPr>
        <w:t xml:space="preserve">97801.html </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27. Назаренко О. А. Порівняльний аналіз зрушень у торгівлі між Європейським Союзом та окремими країнами світу в контексті набуття чинності угод про створення зон вільної торгівлі / О. А. Назаренко</w:t>
      </w:r>
      <w:r>
        <w:rPr>
          <w:rFonts w:ascii="Times New Roman" w:hAnsi="Times New Roman"/>
          <w:sz w:val="26"/>
          <w:szCs w:val="26"/>
        </w:rPr>
        <w:t xml:space="preserve"> </w:t>
      </w:r>
      <w:r w:rsidRPr="00951C18">
        <w:rPr>
          <w:rFonts w:ascii="Times New Roman" w:hAnsi="Times New Roman"/>
          <w:sz w:val="26"/>
          <w:szCs w:val="26"/>
        </w:rPr>
        <w:t>// Зовнішня торгівля: економіка, фінанси, право. – 2015.-№3. – С.125-134.</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 xml:space="preserve">28. Новая европейская стратегия «Европа 2020» [Електронний ресурс]. – Режим доступу: http://eulaw.ru/content/307 </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29. European Commission. 2011. «Proposal for a REGULATION OF THE EUROPEAN PARLIAMENT AND OF THE COUNSIL on support for rural development by the European Agricultural Fund for Rural Development (EAFRD)», COM (2011) 627 final/2. Brussels. 143 p.</w:t>
      </w:r>
    </w:p>
    <w:p w:rsidR="00D7327C" w:rsidRPr="00951C18" w:rsidRDefault="00D7327C" w:rsidP="00D7327C">
      <w:pPr>
        <w:tabs>
          <w:tab w:val="left" w:pos="142"/>
        </w:tabs>
        <w:spacing w:after="0"/>
        <w:ind w:firstLine="709"/>
        <w:jc w:val="both"/>
        <w:rPr>
          <w:rFonts w:ascii="Times New Roman" w:hAnsi="Times New Roman"/>
          <w:sz w:val="26"/>
          <w:szCs w:val="26"/>
        </w:rPr>
      </w:pPr>
      <w:r w:rsidRPr="00951C18">
        <w:rPr>
          <w:rFonts w:ascii="Times New Roman" w:hAnsi="Times New Roman"/>
          <w:sz w:val="26"/>
          <w:szCs w:val="26"/>
        </w:rPr>
        <w:t>30. Попова О. Л. Нові пріоритети Спільної аграрної політики ЄС на 2014-2020 роки: стратегічні орієнтири для розвитку агросфери України/ О. Л. Попова</w:t>
      </w:r>
      <w:r>
        <w:rPr>
          <w:rFonts w:ascii="Times New Roman" w:hAnsi="Times New Roman"/>
          <w:sz w:val="26"/>
          <w:szCs w:val="26"/>
        </w:rPr>
        <w:t xml:space="preserve"> </w:t>
      </w:r>
      <w:r w:rsidRPr="00951C18">
        <w:rPr>
          <w:rFonts w:ascii="Times New Roman" w:hAnsi="Times New Roman"/>
          <w:sz w:val="26"/>
          <w:szCs w:val="26"/>
        </w:rPr>
        <w:t xml:space="preserve">// Економіка АПК. – 2013. -№12. – С.89-96.  </w:t>
      </w:r>
    </w:p>
    <w:p w:rsidR="006D43F9" w:rsidRDefault="006D43F9">
      <w:bookmarkStart w:id="0" w:name="_GoBack"/>
      <w:bookmarkEnd w:id="0"/>
    </w:p>
    <w:sectPr w:rsidR="006D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3D"/>
    <w:rsid w:val="0063713D"/>
    <w:rsid w:val="006D43F9"/>
    <w:rsid w:val="00D7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CD159-79D0-40FF-B84D-55C80D9C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27C"/>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6966</Words>
  <Characters>39708</Characters>
  <Application>Microsoft Office Word</Application>
  <DocSecurity>0</DocSecurity>
  <Lines>330</Lines>
  <Paragraphs>93</Paragraphs>
  <ScaleCrop>false</ScaleCrop>
  <Company>SPecialiST RePack</Company>
  <LinksUpToDate>false</LinksUpToDate>
  <CharactersWithSpaces>46581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2017-06-21T06:29:00Z</dcterms:created>
  <dcterms:modified xsi:type="dcterms:W3CDTF">2017-06-21T06:29:00Z</dcterms:modified>
</cp:coreProperties>
</file>