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F6" w:rsidRDefault="00B46AF6" w:rsidP="00B46AF6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lang w:val="uk-UA"/>
        </w:rPr>
      </w:pPr>
      <w:r w:rsidRPr="00B46AF6">
        <w:rPr>
          <w:rFonts w:ascii="Times New Roman" w:hAnsi="Times New Roman" w:cs="Times New Roman"/>
          <w:b/>
          <w:color w:val="000000"/>
        </w:rPr>
        <w:t>УДК 347.73</w:t>
      </w:r>
    </w:p>
    <w:p w:rsidR="00AB1F19" w:rsidRPr="00AB1F19" w:rsidRDefault="00AB1F19" w:rsidP="00B46AF6">
      <w:pPr>
        <w:pStyle w:val="HTML"/>
        <w:shd w:val="clear" w:color="auto" w:fill="FFFFFF"/>
        <w:rPr>
          <w:rFonts w:ascii="Times New Roman" w:hAnsi="Times New Roman" w:cs="Times New Roman"/>
          <w:b/>
          <w:color w:val="000000"/>
          <w:lang w:val="uk-UA"/>
        </w:rPr>
      </w:pPr>
    </w:p>
    <w:p w:rsidR="00A55E28" w:rsidRDefault="00A55E28" w:rsidP="00A55E28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B46AF6">
        <w:rPr>
          <w:rFonts w:ascii="Times New Roman" w:hAnsi="Times New Roman"/>
          <w:b/>
          <w:sz w:val="20"/>
          <w:szCs w:val="20"/>
          <w:lang w:val="uk-UA"/>
        </w:rPr>
        <w:t>Кошка І.</w:t>
      </w:r>
      <w:r w:rsidR="00C82E06" w:rsidRPr="00B46AF6">
        <w:rPr>
          <w:rFonts w:ascii="Times New Roman" w:hAnsi="Times New Roman"/>
          <w:b/>
          <w:sz w:val="20"/>
          <w:szCs w:val="20"/>
          <w:lang w:val="uk-UA"/>
        </w:rPr>
        <w:t>Ю</w:t>
      </w:r>
      <w:r w:rsidRPr="00B46AF6">
        <w:rPr>
          <w:rFonts w:ascii="Times New Roman" w:hAnsi="Times New Roman"/>
          <w:b/>
          <w:sz w:val="20"/>
          <w:szCs w:val="20"/>
          <w:lang w:val="uk-UA"/>
        </w:rPr>
        <w:t xml:space="preserve">., </w:t>
      </w:r>
      <w:r w:rsidRPr="00B46AF6">
        <w:rPr>
          <w:rFonts w:ascii="Times New Roman" w:hAnsi="Times New Roman"/>
          <w:sz w:val="20"/>
          <w:szCs w:val="20"/>
          <w:lang w:val="uk-UA"/>
        </w:rPr>
        <w:t>студентка гр. ПР</w:t>
      </w:r>
      <w:r w:rsidRPr="00B46AF6">
        <w:rPr>
          <w:rFonts w:ascii="Times New Roman" w:hAnsi="Times New Roman"/>
          <w:b/>
          <w:sz w:val="20"/>
          <w:szCs w:val="20"/>
          <w:lang w:val="uk-UA"/>
        </w:rPr>
        <w:t xml:space="preserve"> 153</w:t>
      </w:r>
    </w:p>
    <w:p w:rsidR="00003DED" w:rsidRDefault="00003DED" w:rsidP="00003DED">
      <w:pPr>
        <w:tabs>
          <w:tab w:val="left" w:pos="720"/>
        </w:tabs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  <w:r w:rsidRPr="00AB1F19">
        <w:rPr>
          <w:rFonts w:ascii="Times New Roman" w:hAnsi="Times New Roman"/>
          <w:b/>
          <w:sz w:val="20"/>
          <w:szCs w:val="20"/>
          <w:lang w:val="uk-UA"/>
        </w:rPr>
        <w:t>Козинець І.Г.,</w:t>
      </w:r>
      <w:r>
        <w:rPr>
          <w:rFonts w:ascii="Times New Roman" w:hAnsi="Times New Roman"/>
          <w:sz w:val="20"/>
          <w:szCs w:val="20"/>
          <w:lang w:val="uk-UA"/>
        </w:rPr>
        <w:t xml:space="preserve"> ст. викладач кафедри цивільного, господарського права та процесу </w:t>
      </w:r>
    </w:p>
    <w:p w:rsidR="00A55E28" w:rsidRDefault="00A55E28" w:rsidP="00A55E28">
      <w:pPr>
        <w:tabs>
          <w:tab w:val="left" w:pos="720"/>
        </w:tabs>
        <w:spacing w:after="0" w:line="240" w:lineRule="auto"/>
        <w:rPr>
          <w:rFonts w:ascii="Times New Roman" w:hAnsi="Times New Roman"/>
          <w:i/>
          <w:sz w:val="20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0"/>
          <w:szCs w:val="20"/>
          <w:lang w:val="uk-UA"/>
        </w:rPr>
        <w:t>Чернігівський національний технологічний університет</w:t>
      </w:r>
    </w:p>
    <w:p w:rsidR="001C3704" w:rsidRPr="001C3704" w:rsidRDefault="001C3704" w:rsidP="00A55E28">
      <w:pPr>
        <w:tabs>
          <w:tab w:val="left" w:pos="72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:rsidR="001979E2" w:rsidRPr="0088199A" w:rsidRDefault="001979E2" w:rsidP="0088199A">
      <w:pPr>
        <w:pStyle w:val="a3"/>
        <w:jc w:val="center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b/>
          <w:sz w:val="20"/>
          <w:szCs w:val="20"/>
          <w:lang w:val="uk-UA"/>
        </w:rPr>
        <w:t>ВІДПОВІДАЛЬНІСТЬ ЗА ПОРУШЕННЯ ПОДАТКОВОГО ЗАКОНОДАВСТВА</w:t>
      </w:r>
    </w:p>
    <w:p w:rsidR="001979E2" w:rsidRPr="0088199A" w:rsidRDefault="001979E2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979E2" w:rsidRPr="0088199A" w:rsidRDefault="001979E2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У сучасних умовах для забезпечення необхідного рівня податкових надходжень вирішального значення набуває застосування заходів державного примусу в податковій сфері.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Державний примус у податковій сфері реалізується через установлений законодавством механізм юридичної відповідальності.</w:t>
      </w:r>
    </w:p>
    <w:p w:rsidR="001979E2" w:rsidRPr="0088199A" w:rsidRDefault="001979E2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Примус у сфері оподаткування являє собою систему заходів, які застосовуються уповноваженими органами щодо осіб при порушенні ними обов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язків зі сплати податку або збору та притягнення до відповідальності при скоєнні по</w:t>
      </w:r>
      <w:r w:rsidR="00A25164" w:rsidRPr="0088199A">
        <w:rPr>
          <w:rFonts w:ascii="Times New Roman" w:hAnsi="Times New Roman"/>
          <w:sz w:val="20"/>
          <w:szCs w:val="20"/>
          <w:lang w:val="uk-UA"/>
        </w:rPr>
        <w:t>даткового правопорушення [</w:t>
      </w:r>
      <w:r w:rsidR="00E44381" w:rsidRPr="0088199A">
        <w:rPr>
          <w:rFonts w:ascii="Times New Roman" w:hAnsi="Times New Roman"/>
          <w:sz w:val="20"/>
          <w:szCs w:val="20"/>
          <w:lang w:val="uk-UA"/>
        </w:rPr>
        <w:t>1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, с. 49].</w:t>
      </w:r>
    </w:p>
    <w:p w:rsidR="001979E2" w:rsidRPr="0088199A" w:rsidRDefault="001979E2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У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податковому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праві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88199A">
        <w:rPr>
          <w:rFonts w:ascii="Times New Roman" w:hAnsi="Times New Roman"/>
          <w:sz w:val="20"/>
          <w:szCs w:val="20"/>
          <w:lang w:val="uk-UA"/>
        </w:rPr>
        <w:t>враховуючи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специфіку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предмета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і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методу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правового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регулювання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, </w:t>
      </w:r>
      <w:r w:rsidRPr="0088199A">
        <w:rPr>
          <w:rFonts w:ascii="Times New Roman" w:hAnsi="Times New Roman"/>
          <w:sz w:val="20"/>
          <w:szCs w:val="20"/>
          <w:lang w:val="uk-UA"/>
        </w:rPr>
        <w:t>застосування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юридичної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відповідальності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до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зобов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язаних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суб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єктів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податкових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правовідносин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завжди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язан</w:t>
      </w:r>
      <w:r w:rsidR="0082248B" w:rsidRPr="0088199A">
        <w:rPr>
          <w:rFonts w:ascii="Times New Roman" w:hAnsi="Times New Roman"/>
          <w:sz w:val="20"/>
          <w:szCs w:val="20"/>
          <w:lang w:val="uk-UA"/>
        </w:rPr>
        <w:t>а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з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невиконанням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або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неналежним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виконанням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ними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податкового</w:t>
      </w:r>
      <w:r w:rsidR="008E2E5C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обов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язку.</w:t>
      </w:r>
    </w:p>
    <w:p w:rsidR="006C3583" w:rsidRPr="0088199A" w:rsidRDefault="001979E2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Юридичну відповідальність за податкові правопорушення слід розглядати як правовідносини, які виникають між державою в особі уповноважених органів, та правопорушником, на якого покладається обов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язок зазнавати відповідні позбавлення та несприятливі наслідки. Юридичним фактом, який тягне виникнення вказаних правовідносин, є вчинення податкового правопорушення</w:t>
      </w:r>
      <w:r w:rsidR="0060485F" w:rsidRPr="0088199A">
        <w:rPr>
          <w:rFonts w:ascii="Times New Roman" w:hAnsi="Times New Roman"/>
          <w:sz w:val="20"/>
          <w:szCs w:val="20"/>
          <w:lang w:val="uk-UA"/>
        </w:rPr>
        <w:t xml:space="preserve"> [</w:t>
      </w:r>
      <w:r w:rsidR="00CA0968" w:rsidRPr="0088199A">
        <w:rPr>
          <w:rFonts w:ascii="Times New Roman" w:hAnsi="Times New Roman"/>
          <w:sz w:val="20"/>
          <w:szCs w:val="20"/>
          <w:lang w:val="uk-UA"/>
        </w:rPr>
        <w:t>2</w:t>
      </w:r>
      <w:r w:rsidR="0060485F" w:rsidRPr="0088199A">
        <w:rPr>
          <w:rFonts w:ascii="Times New Roman" w:hAnsi="Times New Roman"/>
          <w:sz w:val="20"/>
          <w:szCs w:val="20"/>
          <w:lang w:val="uk-UA"/>
        </w:rPr>
        <w:t>]</w:t>
      </w:r>
      <w:r w:rsidRPr="0088199A">
        <w:rPr>
          <w:rFonts w:ascii="Times New Roman" w:hAnsi="Times New Roman"/>
          <w:sz w:val="20"/>
          <w:szCs w:val="20"/>
          <w:lang w:val="uk-UA"/>
        </w:rPr>
        <w:t>.</w:t>
      </w:r>
    </w:p>
    <w:p w:rsidR="0082248B" w:rsidRPr="0088199A" w:rsidRDefault="0082248B" w:rsidP="00881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8199A">
        <w:rPr>
          <w:rFonts w:ascii="Times New Roman" w:hAnsi="Times New Roman"/>
          <w:color w:val="000000"/>
          <w:sz w:val="20"/>
          <w:szCs w:val="20"/>
          <w:lang w:val="uk-UA"/>
        </w:rPr>
        <w:t>Стаття 109 ч. 1 Податкового кодексу України визначає податкове правопорушення як «протиправне діяння (дія чи бездіяльність) платників податків, податкових агентів, та/або їх посадових осіб, а також посадових осіб контролюючих органів, що призвели до невиконання або неналежного виконання вимог, установлених цим Кодексом та іншим законодавством, контроль за дотриманням якого покладено на контролюючі органи».</w:t>
      </w:r>
    </w:p>
    <w:p w:rsidR="001979E2" w:rsidRPr="0088199A" w:rsidRDefault="001979E2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 xml:space="preserve">Згідно з п. 110. 1 ст. </w:t>
      </w:r>
      <w:r w:rsidR="0082248B" w:rsidRPr="0088199A">
        <w:rPr>
          <w:rFonts w:ascii="Times New Roman" w:hAnsi="Times New Roman"/>
          <w:sz w:val="20"/>
          <w:szCs w:val="20"/>
          <w:lang w:val="uk-UA"/>
        </w:rPr>
        <w:t>110 Податкового кодексу України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 платник податків несе відповідальність у разі вчинення порушень, визначених законами з питань оподаткування та іншим законодавством, контроль за дотриманням якого покладено на контролюючі органи. За порушення податкового законодавства до платника податків застосовуються такі види юридичної відповідальності: фінансова, адміністративна та кримінальна [</w:t>
      </w:r>
      <w:r w:rsidR="00CA0968" w:rsidRPr="0088199A">
        <w:rPr>
          <w:rFonts w:ascii="Times New Roman" w:hAnsi="Times New Roman"/>
          <w:sz w:val="20"/>
          <w:szCs w:val="20"/>
          <w:lang w:val="uk-UA"/>
        </w:rPr>
        <w:t>3</w:t>
      </w:r>
      <w:r w:rsidRPr="0088199A">
        <w:rPr>
          <w:rFonts w:ascii="Times New Roman" w:hAnsi="Times New Roman"/>
          <w:sz w:val="20"/>
          <w:szCs w:val="20"/>
          <w:lang w:val="uk-UA"/>
        </w:rPr>
        <w:t>].</w:t>
      </w:r>
    </w:p>
    <w:p w:rsidR="007F66D8" w:rsidRPr="0088199A" w:rsidRDefault="007F66D8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Особливістю відповідальності за порушення податкового законодавства є її компенсаційно-каральний характер. Зміст компенсаційної ознаки полягає в необхідності відшкодування збитків держави та органів місцевого самоврядування внаслідок неотримання надходжень податків, зборів, інших обов’язкових платежів до бюджетів і державних цільових фондів. Поряд із цим застосування відповідальності спрямовано на покарання конкретного правопорушника (платника податків, податкового агента) у зв’язку з невиконанням ним покладеного на нього обов’язку, а також на попередження податкових правопорушень [</w:t>
      </w:r>
      <w:r w:rsidR="00CA0968" w:rsidRPr="0088199A">
        <w:rPr>
          <w:rFonts w:ascii="Times New Roman" w:hAnsi="Times New Roman"/>
          <w:sz w:val="20"/>
          <w:szCs w:val="20"/>
          <w:lang w:val="uk-UA"/>
        </w:rPr>
        <w:t>4, с.205</w:t>
      </w:r>
      <w:r w:rsidRPr="0088199A">
        <w:rPr>
          <w:rFonts w:ascii="Times New Roman" w:hAnsi="Times New Roman"/>
          <w:sz w:val="20"/>
          <w:szCs w:val="20"/>
          <w:lang w:val="uk-UA"/>
        </w:rPr>
        <w:t>].</w:t>
      </w:r>
    </w:p>
    <w:p w:rsidR="006C3583" w:rsidRPr="0088199A" w:rsidRDefault="007F66D8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Іншою</w:t>
      </w:r>
      <w:r w:rsidR="006C3583" w:rsidRPr="0088199A">
        <w:rPr>
          <w:rFonts w:ascii="Times New Roman" w:hAnsi="Times New Roman"/>
          <w:sz w:val="20"/>
          <w:szCs w:val="20"/>
          <w:lang w:val="uk-UA"/>
        </w:rPr>
        <w:t xml:space="preserve"> особлив</w:t>
      </w:r>
      <w:r w:rsidRPr="0088199A">
        <w:rPr>
          <w:rFonts w:ascii="Times New Roman" w:hAnsi="Times New Roman"/>
          <w:sz w:val="20"/>
          <w:szCs w:val="20"/>
          <w:lang w:val="uk-UA"/>
        </w:rPr>
        <w:t>і</w:t>
      </w:r>
      <w:r w:rsidR="006C3583" w:rsidRPr="0088199A">
        <w:rPr>
          <w:rFonts w:ascii="Times New Roman" w:hAnsi="Times New Roman"/>
          <w:sz w:val="20"/>
          <w:szCs w:val="20"/>
          <w:lang w:val="uk-UA"/>
        </w:rPr>
        <w:t>ст</w:t>
      </w:r>
      <w:r w:rsidRPr="0088199A">
        <w:rPr>
          <w:rFonts w:ascii="Times New Roman" w:hAnsi="Times New Roman"/>
          <w:sz w:val="20"/>
          <w:szCs w:val="20"/>
          <w:lang w:val="uk-UA"/>
        </w:rPr>
        <w:t>ю</w:t>
      </w:r>
      <w:r w:rsidR="006C3583" w:rsidRPr="0088199A">
        <w:rPr>
          <w:rFonts w:ascii="Times New Roman" w:hAnsi="Times New Roman"/>
          <w:sz w:val="20"/>
          <w:szCs w:val="20"/>
          <w:lang w:val="uk-UA"/>
        </w:rPr>
        <w:t xml:space="preserve"> податкової відповідальності є те, що її правовим джерелом є не тільки Податковий кодекс України, але й інші закони України. Так, п. 7.3 Податкового кодексу України закладає цю особливість як основоположну засаду податкового законодавства, проголошуючи, що будь-які питання щодо оподаткування регулюються </w:t>
      </w:r>
      <w:r w:rsidR="00EE0F42" w:rsidRPr="0088199A">
        <w:rPr>
          <w:rFonts w:ascii="Times New Roman" w:hAnsi="Times New Roman"/>
          <w:sz w:val="20"/>
          <w:szCs w:val="20"/>
          <w:lang w:val="uk-UA"/>
        </w:rPr>
        <w:t>Податковим</w:t>
      </w:r>
      <w:r w:rsidR="006C3583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E0F42" w:rsidRPr="0088199A">
        <w:rPr>
          <w:rFonts w:ascii="Times New Roman" w:hAnsi="Times New Roman"/>
          <w:sz w:val="20"/>
          <w:szCs w:val="20"/>
          <w:lang w:val="uk-UA"/>
        </w:rPr>
        <w:t>к</w:t>
      </w:r>
      <w:r w:rsidR="006C3583" w:rsidRPr="0088199A">
        <w:rPr>
          <w:rFonts w:ascii="Times New Roman" w:hAnsi="Times New Roman"/>
          <w:sz w:val="20"/>
          <w:szCs w:val="20"/>
          <w:lang w:val="uk-UA"/>
        </w:rPr>
        <w:t>одексом і не можуть встановлюватися або змінюватися іншими законами України, крім законів, які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,</w:t>
      </w:r>
      <w:r w:rsidR="006C3583" w:rsidRPr="0088199A">
        <w:rPr>
          <w:rFonts w:ascii="Times New Roman" w:hAnsi="Times New Roman"/>
          <w:sz w:val="20"/>
          <w:szCs w:val="20"/>
          <w:lang w:val="uk-UA"/>
        </w:rPr>
        <w:t xml:space="preserve"> в тому числі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,</w:t>
      </w:r>
      <w:r w:rsidR="006C3583" w:rsidRPr="0088199A">
        <w:rPr>
          <w:rFonts w:ascii="Times New Roman" w:hAnsi="Times New Roman"/>
          <w:sz w:val="20"/>
          <w:szCs w:val="20"/>
          <w:lang w:val="uk-UA"/>
        </w:rPr>
        <w:t xml:space="preserve"> встановлюють і відповідальність за порушення норм податкового законодавства. Це положення знаходить свій розвиток і конкретизацію в статтях </w:t>
      </w:r>
      <w:r w:rsidR="00EE0F42" w:rsidRPr="0088199A">
        <w:rPr>
          <w:rFonts w:ascii="Times New Roman" w:hAnsi="Times New Roman"/>
          <w:sz w:val="20"/>
          <w:szCs w:val="20"/>
          <w:lang w:val="uk-UA"/>
        </w:rPr>
        <w:t>г</w:t>
      </w:r>
      <w:r w:rsidR="006C3583" w:rsidRPr="0088199A">
        <w:rPr>
          <w:rFonts w:ascii="Times New Roman" w:hAnsi="Times New Roman"/>
          <w:sz w:val="20"/>
          <w:szCs w:val="20"/>
          <w:lang w:val="uk-UA"/>
        </w:rPr>
        <w:t>лави 11 Податкового кодексу України.</w:t>
      </w:r>
    </w:p>
    <w:p w:rsidR="006C3583" w:rsidRPr="0088199A" w:rsidRDefault="006C3583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 xml:space="preserve">До </w:t>
      </w:r>
      <w:r w:rsidR="00EE0F42" w:rsidRPr="0088199A">
        <w:rPr>
          <w:rFonts w:ascii="Times New Roman" w:hAnsi="Times New Roman"/>
          <w:sz w:val="20"/>
          <w:szCs w:val="20"/>
          <w:lang w:val="uk-UA"/>
        </w:rPr>
        <w:t>г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лави 11 Податкового кодексу України включені норми, що визначають загальні засади фінансової відповідальності, поняття правопорушення, визначення правопорушників, види стягнень та 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загальні засади їх застосування,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 а також норми, які визначають конкретні склади податкових правопорушень та стягнення за їх вчинення.</w:t>
      </w:r>
    </w:p>
    <w:p w:rsidR="007F66D8" w:rsidRPr="0088199A" w:rsidRDefault="007F66D8" w:rsidP="00881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8199A">
        <w:rPr>
          <w:rFonts w:ascii="Times New Roman" w:hAnsi="Times New Roman"/>
          <w:color w:val="000000"/>
          <w:sz w:val="20"/>
          <w:szCs w:val="20"/>
          <w:lang w:val="uk-UA"/>
        </w:rPr>
        <w:t>Фінансова відповідальність є формою реалізації державно-владного примусу, що виникає у разі порушення приписів фінансово-правових норм і полягає у застосуванні спеціально уповноваженими державними органами до правопорушника передбачених законом санкцій. Визнаючи фінансову відповідальність особливим видом юридичної відповідальності, фахівці вказують на три основні аспекти:</w:t>
      </w:r>
    </w:p>
    <w:p w:rsidR="007F66D8" w:rsidRPr="0088199A" w:rsidRDefault="007F66D8" w:rsidP="00881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8199A">
        <w:rPr>
          <w:rFonts w:ascii="Times New Roman" w:hAnsi="Times New Roman"/>
          <w:color w:val="000000"/>
          <w:sz w:val="20"/>
          <w:szCs w:val="20"/>
          <w:lang w:val="uk-UA"/>
        </w:rPr>
        <w:t>– у них наявний особливий суб’єкт (при адміністративних та кримінальних – це тільки фізичні особи, при фінансових - і юридичні, і фізичні);</w:t>
      </w:r>
    </w:p>
    <w:p w:rsidR="007F66D8" w:rsidRPr="0088199A" w:rsidRDefault="007F66D8" w:rsidP="00881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8199A">
        <w:rPr>
          <w:rFonts w:ascii="Times New Roman" w:hAnsi="Times New Roman"/>
          <w:color w:val="000000"/>
          <w:sz w:val="20"/>
          <w:szCs w:val="20"/>
          <w:lang w:val="uk-UA"/>
        </w:rPr>
        <w:t>– на відміну від адміністративних санкцій, які реалізуються в грошовій формі, фінансові санкції значно ширші аніж просто грошові;</w:t>
      </w:r>
    </w:p>
    <w:p w:rsidR="007F66D8" w:rsidRPr="0088199A" w:rsidRDefault="007F66D8" w:rsidP="008819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88199A">
        <w:rPr>
          <w:rFonts w:ascii="Times New Roman" w:hAnsi="Times New Roman"/>
          <w:color w:val="000000"/>
          <w:sz w:val="20"/>
          <w:szCs w:val="20"/>
          <w:lang w:val="uk-UA"/>
        </w:rPr>
        <w:t>– фінансові санкції за податкові правопорушення засновані на податковому примусі, і характеризуються специфічними рисами [</w:t>
      </w:r>
      <w:r w:rsidR="00CA0968" w:rsidRPr="0088199A">
        <w:rPr>
          <w:rFonts w:ascii="Times New Roman" w:hAnsi="Times New Roman"/>
          <w:color w:val="000000"/>
          <w:sz w:val="20"/>
          <w:szCs w:val="20"/>
          <w:lang w:val="uk-UA"/>
        </w:rPr>
        <w:t>2</w:t>
      </w:r>
      <w:r w:rsidRPr="0088199A">
        <w:rPr>
          <w:rFonts w:ascii="Times New Roman" w:hAnsi="Times New Roman"/>
          <w:color w:val="000000"/>
          <w:sz w:val="20"/>
          <w:szCs w:val="20"/>
          <w:lang w:val="uk-UA"/>
        </w:rPr>
        <w:t>].</w:t>
      </w:r>
    </w:p>
    <w:p w:rsidR="00624E58" w:rsidRPr="0088199A" w:rsidRDefault="00624E58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Фінансова відповідальність застосовується у вигляді штрафних (фінансових) санкцій (штрафів) та/або пені.</w:t>
      </w:r>
      <w:r w:rsidR="00406AE5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06AE5" w:rsidRPr="0088199A">
        <w:rPr>
          <w:rFonts w:ascii="Times New Roman" w:hAnsi="Times New Roman"/>
          <w:color w:val="000000"/>
          <w:sz w:val="20"/>
          <w:szCs w:val="20"/>
          <w:lang w:val="uk-UA"/>
        </w:rPr>
        <w:t xml:space="preserve">У Податковому кодексі України </w:t>
      </w:r>
      <w:r w:rsidR="00406AE5" w:rsidRPr="0088199A">
        <w:rPr>
          <w:rFonts w:ascii="Times New Roman" w:hAnsi="Times New Roman"/>
          <w:sz w:val="20"/>
          <w:szCs w:val="20"/>
          <w:lang w:val="uk-UA"/>
        </w:rPr>
        <w:t>конкретні склади податкових правопорушень та стягнення за їх вчинення</w:t>
      </w:r>
      <w:r w:rsidR="00406AE5" w:rsidRPr="0088199A">
        <w:rPr>
          <w:rFonts w:ascii="Times New Roman" w:hAnsi="Times New Roman"/>
          <w:color w:val="000000"/>
          <w:sz w:val="20"/>
          <w:szCs w:val="20"/>
          <w:lang w:val="uk-UA"/>
        </w:rPr>
        <w:t xml:space="preserve"> передбачені статтями 117–128</w:t>
      </w:r>
      <w:r w:rsidR="00406AE5" w:rsidRPr="0088199A">
        <w:rPr>
          <w:rFonts w:ascii="Times New Roman" w:hAnsi="Times New Roman"/>
          <w:color w:val="000000"/>
          <w:sz w:val="20"/>
          <w:szCs w:val="20"/>
          <w:vertAlign w:val="superscript"/>
          <w:lang w:val="uk-UA"/>
        </w:rPr>
        <w:t>1</w:t>
      </w:r>
      <w:r w:rsidR="00406AE5" w:rsidRPr="0088199A">
        <w:rPr>
          <w:rFonts w:ascii="Times New Roman" w:hAnsi="Times New Roman"/>
          <w:color w:val="000000"/>
          <w:sz w:val="20"/>
          <w:szCs w:val="20"/>
          <w:lang w:val="uk-UA"/>
        </w:rPr>
        <w:t>.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Притягнення до фінансової відповідальності платників податків за порушення законів з питань оподаткування, іншого законодавства, контроль за дотриманням якого покладено на контролюючі органи, не звільняє їх посадових осіб за наявності відповідних підстав від притягнення до адміністративної або кримінальної відповідальності</w:t>
      </w:r>
      <w:r w:rsidR="0060485F" w:rsidRPr="0088199A">
        <w:rPr>
          <w:rFonts w:ascii="Times New Roman" w:hAnsi="Times New Roman"/>
          <w:sz w:val="20"/>
          <w:szCs w:val="20"/>
          <w:lang w:val="uk-UA"/>
        </w:rPr>
        <w:t xml:space="preserve"> [</w:t>
      </w:r>
      <w:r w:rsidR="00CA0968" w:rsidRPr="0088199A">
        <w:rPr>
          <w:rFonts w:ascii="Times New Roman" w:hAnsi="Times New Roman"/>
          <w:sz w:val="20"/>
          <w:szCs w:val="20"/>
          <w:lang w:val="uk-UA"/>
        </w:rPr>
        <w:t>3</w:t>
      </w:r>
      <w:r w:rsidR="0060485F" w:rsidRPr="0088199A">
        <w:rPr>
          <w:rFonts w:ascii="Times New Roman" w:hAnsi="Times New Roman"/>
          <w:sz w:val="20"/>
          <w:szCs w:val="20"/>
          <w:lang w:val="uk-UA"/>
        </w:rPr>
        <w:t>]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.</w:t>
      </w:r>
    </w:p>
    <w:p w:rsidR="00044A6C" w:rsidRPr="0088199A" w:rsidRDefault="00044A6C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color w:val="333333"/>
          <w:sz w:val="20"/>
          <w:szCs w:val="20"/>
          <w:shd w:val="clear" w:color="auto" w:fill="FFFFFF"/>
          <w:lang w:val="uk-UA"/>
        </w:rPr>
        <w:lastRenderedPageBreak/>
        <w:t>Підставою адміністративної відповідальності за порушення податкового законодавства є наявність адміністративного правопорушення.</w:t>
      </w:r>
      <w:r w:rsidR="00DF3685" w:rsidRPr="0088199A">
        <w:rPr>
          <w:rFonts w:ascii="Times New Roman" w:hAnsi="Times New Roman"/>
          <w:color w:val="333333"/>
          <w:sz w:val="20"/>
          <w:szCs w:val="20"/>
          <w:shd w:val="clear" w:color="auto" w:fill="FFFFFF"/>
          <w:lang w:val="uk-UA"/>
        </w:rPr>
        <w:t xml:space="preserve"> До адміністративної відповідальності можуть бути притягнуті фізичні особи та посадові особи, винні в порушенні податкового законодавства.</w:t>
      </w:r>
    </w:p>
    <w:p w:rsidR="00DF3685" w:rsidRPr="0088199A" w:rsidRDefault="00DF3685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color w:val="333333"/>
          <w:sz w:val="20"/>
          <w:szCs w:val="20"/>
          <w:shd w:val="clear" w:color="auto" w:fill="FFFFFF"/>
          <w:lang w:val="uk-UA"/>
        </w:rPr>
        <w:t>До особливостей адміністративної відповідальності відносять: не тягне за собою судимості; застосовується по відношенню до найменш значних податкових правопорушень (проступків), які за своїм характером відповідно до закону не тягнуть кримінальної відповідальності; відсутність тяжких правових наслідків.</w:t>
      </w:r>
    </w:p>
    <w:p w:rsidR="00624E58" w:rsidRPr="0088199A" w:rsidRDefault="00624E58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Діяння, за які передбачена адміністративна відповідальність за порушення податкового законодавства, зазначені у статтях Кодексу України про ад</w:t>
      </w:r>
      <w:r w:rsidR="0047246B" w:rsidRPr="0088199A">
        <w:rPr>
          <w:rFonts w:ascii="Times New Roman" w:hAnsi="Times New Roman"/>
          <w:sz w:val="20"/>
          <w:szCs w:val="20"/>
          <w:lang w:val="uk-UA"/>
        </w:rPr>
        <w:t>міністративні правопорушення (ст.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 163-2, 163-3,</w:t>
      </w:r>
      <w:r w:rsidR="00406AE5" w:rsidRPr="0088199A">
        <w:rPr>
          <w:rFonts w:ascii="Times New Roman" w:hAnsi="Times New Roman"/>
          <w:sz w:val="20"/>
          <w:szCs w:val="20"/>
          <w:lang w:val="uk-UA"/>
        </w:rPr>
        <w:t xml:space="preserve"> 163-3, 164-1, 164-5</w:t>
      </w:r>
      <w:r w:rsidR="00DF3685" w:rsidRPr="0088199A">
        <w:rPr>
          <w:rFonts w:ascii="Times New Roman" w:hAnsi="Times New Roman"/>
          <w:sz w:val="20"/>
          <w:szCs w:val="20"/>
          <w:lang w:val="uk-UA"/>
        </w:rPr>
        <w:t>, 165-1</w:t>
      </w:r>
      <w:r w:rsidR="00406AE5" w:rsidRPr="0088199A">
        <w:rPr>
          <w:rFonts w:ascii="Times New Roman" w:hAnsi="Times New Roman"/>
          <w:sz w:val="20"/>
          <w:szCs w:val="20"/>
          <w:lang w:val="uk-UA"/>
        </w:rPr>
        <w:t xml:space="preserve"> та іншими)</w:t>
      </w:r>
      <w:r w:rsidRPr="0088199A">
        <w:rPr>
          <w:rFonts w:ascii="Times New Roman" w:hAnsi="Times New Roman"/>
          <w:sz w:val="20"/>
          <w:szCs w:val="20"/>
          <w:lang w:val="uk-UA"/>
        </w:rPr>
        <w:t>.</w:t>
      </w:r>
    </w:p>
    <w:p w:rsidR="00624E58" w:rsidRPr="0088199A" w:rsidRDefault="00624E58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Наприклад, частина статті 164-1 Кодексу України про адміністративні правопорушення зазначає, що неподання громадянами декларації про доходи чи включення до декларацій перекручених даних, не ведення обліку або неналежне ведення обліку доходів і витрат, для яких законами України встановлено обов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язкову форму обліку, - тягне за собою попередження або накладання штрафу від трьох до восьми неоподатковуваних мінімумів доходів громадян</w:t>
      </w:r>
      <w:r w:rsidR="00A25164" w:rsidRPr="0088199A">
        <w:rPr>
          <w:rFonts w:ascii="Times New Roman" w:hAnsi="Times New Roman"/>
          <w:sz w:val="20"/>
          <w:szCs w:val="20"/>
          <w:lang w:val="uk-UA"/>
        </w:rPr>
        <w:t xml:space="preserve"> [</w:t>
      </w:r>
      <w:r w:rsidR="00CA0968" w:rsidRPr="0088199A">
        <w:rPr>
          <w:rFonts w:ascii="Times New Roman" w:hAnsi="Times New Roman"/>
          <w:sz w:val="20"/>
          <w:szCs w:val="20"/>
          <w:lang w:val="uk-UA"/>
        </w:rPr>
        <w:t>5</w:t>
      </w:r>
      <w:r w:rsidR="00A25164" w:rsidRPr="0088199A">
        <w:rPr>
          <w:rFonts w:ascii="Times New Roman" w:hAnsi="Times New Roman"/>
          <w:sz w:val="20"/>
          <w:szCs w:val="20"/>
          <w:lang w:val="uk-UA"/>
        </w:rPr>
        <w:t>]</w:t>
      </w:r>
      <w:r w:rsidRPr="0088199A">
        <w:rPr>
          <w:rFonts w:ascii="Times New Roman" w:hAnsi="Times New Roman"/>
          <w:sz w:val="20"/>
          <w:szCs w:val="20"/>
          <w:lang w:val="uk-UA"/>
        </w:rPr>
        <w:t>.</w:t>
      </w:r>
    </w:p>
    <w:p w:rsidR="00624E58" w:rsidRPr="0088199A" w:rsidRDefault="00624E58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 xml:space="preserve">З усіх видів стягнень, передбачених кодексом України про адміністративні правопорушення, </w:t>
      </w:r>
      <w:r w:rsidR="00DF3685" w:rsidRPr="0088199A">
        <w:rPr>
          <w:rFonts w:ascii="Times New Roman" w:hAnsi="Times New Roman"/>
          <w:sz w:val="20"/>
          <w:szCs w:val="20"/>
          <w:lang w:val="uk-UA"/>
        </w:rPr>
        <w:t>контролюючим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 орган</w:t>
      </w:r>
      <w:r w:rsidR="00DF3685" w:rsidRPr="0088199A">
        <w:rPr>
          <w:rFonts w:ascii="Times New Roman" w:hAnsi="Times New Roman"/>
          <w:sz w:val="20"/>
          <w:szCs w:val="20"/>
          <w:lang w:val="uk-UA"/>
        </w:rPr>
        <w:t>а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м надано право використовувати лише адміністративні штрафи. Розмір їх визначається в межах, встановлених за скоєння відповідних правопорушень </w:t>
      </w:r>
      <w:r w:rsidR="00EE0F42" w:rsidRPr="0088199A">
        <w:rPr>
          <w:rFonts w:ascii="Times New Roman" w:hAnsi="Times New Roman"/>
          <w:sz w:val="20"/>
          <w:szCs w:val="20"/>
          <w:lang w:val="uk-UA"/>
        </w:rPr>
        <w:t>у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 сумах, або кратних певному показнику (неоподаткованому мінімуму доходів, мінімальному розміру заробітної плати), або в національній грошовій одиниці (гривнях).</w:t>
      </w:r>
    </w:p>
    <w:p w:rsidR="00270648" w:rsidRPr="0088199A" w:rsidRDefault="00270648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За ухилення від сплати податків, інших обов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язкових пла</w:t>
      </w:r>
      <w:r w:rsidR="00F61D50" w:rsidRPr="0088199A">
        <w:rPr>
          <w:rFonts w:ascii="Times New Roman" w:hAnsi="Times New Roman"/>
          <w:sz w:val="20"/>
          <w:szCs w:val="20"/>
          <w:lang w:val="uk-UA"/>
        </w:rPr>
        <w:t>т</w:t>
      </w:r>
      <w:r w:rsidRPr="0088199A">
        <w:rPr>
          <w:rFonts w:ascii="Times New Roman" w:hAnsi="Times New Roman"/>
          <w:sz w:val="20"/>
          <w:szCs w:val="20"/>
          <w:lang w:val="uk-UA"/>
        </w:rPr>
        <w:t>ежів у значних розмірах платники відповідно до ст. 212 Кримінального кодексу</w:t>
      </w:r>
      <w:r w:rsidR="00F61D50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України </w:t>
      </w:r>
      <w:r w:rsidR="00EE0F42" w:rsidRPr="0088199A">
        <w:rPr>
          <w:rFonts w:ascii="Times New Roman" w:hAnsi="Times New Roman"/>
          <w:sz w:val="20"/>
          <w:szCs w:val="20"/>
          <w:lang w:val="uk-UA"/>
        </w:rPr>
        <w:t xml:space="preserve">винні особи </w:t>
      </w:r>
      <w:r w:rsidR="00F61D50" w:rsidRPr="0088199A">
        <w:rPr>
          <w:rFonts w:ascii="Times New Roman" w:hAnsi="Times New Roman"/>
          <w:sz w:val="20"/>
          <w:szCs w:val="20"/>
          <w:lang w:val="uk-UA"/>
        </w:rPr>
        <w:t>м</w:t>
      </w:r>
      <w:r w:rsidRPr="0088199A">
        <w:rPr>
          <w:rFonts w:ascii="Times New Roman" w:hAnsi="Times New Roman"/>
          <w:sz w:val="20"/>
          <w:szCs w:val="20"/>
          <w:lang w:val="uk-UA"/>
        </w:rPr>
        <w:t>ожуть бути притягнуті</w:t>
      </w:r>
      <w:r w:rsidR="00F61D50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до</w:t>
      </w:r>
      <w:r w:rsidR="00F61D50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кримінальної відповідальності</w:t>
      </w:r>
      <w:r w:rsidR="00F61D50" w:rsidRPr="0088199A">
        <w:rPr>
          <w:rFonts w:ascii="Times New Roman" w:hAnsi="Times New Roman"/>
          <w:sz w:val="20"/>
          <w:szCs w:val="20"/>
          <w:lang w:val="uk-UA"/>
        </w:rPr>
        <w:t>. Відповідальність настає незалежно від способу ухилення. Об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="00F61D50" w:rsidRPr="0088199A">
        <w:rPr>
          <w:rFonts w:ascii="Times New Roman" w:hAnsi="Times New Roman"/>
          <w:sz w:val="20"/>
          <w:szCs w:val="20"/>
          <w:lang w:val="uk-UA"/>
        </w:rPr>
        <w:t>єктом злочину за встановлений законодавством порядок оподаткування юридичних і фізичних осіб, який забезпечує за рахунок надходження податків, зборів та інших обов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="00F61D50" w:rsidRPr="0088199A">
        <w:rPr>
          <w:rFonts w:ascii="Times New Roman" w:hAnsi="Times New Roman"/>
          <w:sz w:val="20"/>
          <w:szCs w:val="20"/>
          <w:lang w:val="uk-UA"/>
        </w:rPr>
        <w:t xml:space="preserve">язкових платежів формування дохідної частини Державного та місцевих бюджетів, а також державних цільових фондів. </w:t>
      </w:r>
      <w:r w:rsidR="00624E58" w:rsidRPr="0088199A">
        <w:rPr>
          <w:rFonts w:ascii="Times New Roman" w:hAnsi="Times New Roman"/>
          <w:sz w:val="20"/>
          <w:szCs w:val="20"/>
          <w:lang w:val="uk-UA"/>
        </w:rPr>
        <w:t>Кримінальна відповідальність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24E58" w:rsidRPr="0088199A">
        <w:rPr>
          <w:rFonts w:ascii="Times New Roman" w:hAnsi="Times New Roman"/>
          <w:sz w:val="20"/>
          <w:szCs w:val="20"/>
          <w:lang w:val="uk-UA"/>
        </w:rPr>
        <w:t>застосовується при доказі винності, протиправності, умислу та особливо тяжких наслідках податкового злочину</w:t>
      </w:r>
      <w:r w:rsidR="00A25164" w:rsidRPr="0088199A">
        <w:rPr>
          <w:rFonts w:ascii="Times New Roman" w:hAnsi="Times New Roman"/>
          <w:sz w:val="20"/>
          <w:szCs w:val="20"/>
          <w:lang w:val="uk-UA"/>
        </w:rPr>
        <w:t xml:space="preserve"> [</w:t>
      </w:r>
      <w:r w:rsidR="00CA0968" w:rsidRPr="0088199A">
        <w:rPr>
          <w:rFonts w:ascii="Times New Roman" w:hAnsi="Times New Roman"/>
          <w:sz w:val="20"/>
          <w:szCs w:val="20"/>
          <w:lang w:val="uk-UA"/>
        </w:rPr>
        <w:t>6</w:t>
      </w:r>
      <w:r w:rsidR="00A25164" w:rsidRPr="0088199A">
        <w:rPr>
          <w:rFonts w:ascii="Times New Roman" w:hAnsi="Times New Roman"/>
          <w:sz w:val="20"/>
          <w:szCs w:val="20"/>
          <w:lang w:val="uk-UA"/>
        </w:rPr>
        <w:t>]</w:t>
      </w:r>
      <w:r w:rsidR="00624E58" w:rsidRPr="0088199A">
        <w:rPr>
          <w:rFonts w:ascii="Times New Roman" w:hAnsi="Times New Roman"/>
          <w:sz w:val="20"/>
          <w:szCs w:val="20"/>
          <w:lang w:val="uk-UA"/>
        </w:rPr>
        <w:t>.</w:t>
      </w:r>
    </w:p>
    <w:p w:rsidR="001979E2" w:rsidRPr="0088199A" w:rsidRDefault="001979E2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Кримінальна відповідальність за злочини, вчинені у сфері оподаткування, характеризується деякими особливостями: 1) суб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єктами є фізичні особи (платники податків або посадові особи); 2) регулюється кримінально-правовими нормами; 3) здійснюється тільки в судовому порядку;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4) характеризується певними процесуальними особливостями</w:t>
      </w:r>
      <w:r w:rsidR="00CA0968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A0968" w:rsidRPr="0088199A">
        <w:rPr>
          <w:rFonts w:ascii="Times New Roman" w:hAnsi="Times New Roman"/>
          <w:sz w:val="20"/>
          <w:szCs w:val="20"/>
          <w:lang w:val="ru-RU"/>
        </w:rPr>
        <w:t>[7, с.43]</w:t>
      </w:r>
      <w:r w:rsidRPr="0088199A">
        <w:rPr>
          <w:rFonts w:ascii="Times New Roman" w:hAnsi="Times New Roman"/>
          <w:sz w:val="20"/>
          <w:szCs w:val="20"/>
          <w:lang w:val="uk-UA"/>
        </w:rPr>
        <w:t>.</w:t>
      </w:r>
    </w:p>
    <w:p w:rsidR="00776D40" w:rsidRPr="0088199A" w:rsidRDefault="00776D40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 xml:space="preserve">Отже, податкова відповідальність – це система примусових заходів передбачених податковим законодавством, що здійснюється </w:t>
      </w:r>
      <w:r w:rsidR="00E44381" w:rsidRPr="0088199A">
        <w:rPr>
          <w:rFonts w:ascii="Times New Roman" w:hAnsi="Times New Roman"/>
          <w:sz w:val="20"/>
          <w:szCs w:val="20"/>
          <w:lang w:val="uk-UA"/>
        </w:rPr>
        <w:t>контролюючими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 органами, їх посадовими особами до зобов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язаних суб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єктів стосовно сплати податкових платежів, які застосовуються у встановленому процесуальному порядку, і пов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язані з настанням до порушників негативних наслідків особистого, майнового та організаційного характеру з метою боротьби з правопорушеннями й іншими небажаними наслідками у сфері оподаткування.</w:t>
      </w:r>
    </w:p>
    <w:p w:rsidR="001979E2" w:rsidRPr="0088199A" w:rsidRDefault="001979E2" w:rsidP="0088199A">
      <w:pPr>
        <w:pStyle w:val="a3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Відповідальність за порушення податкового законодавства</w:t>
      </w:r>
      <w:r w:rsidR="00523446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має бути </w:t>
      </w:r>
      <w:r w:rsidR="00E44381" w:rsidRPr="0088199A">
        <w:rPr>
          <w:rFonts w:ascii="Times New Roman" w:hAnsi="Times New Roman"/>
          <w:sz w:val="20"/>
          <w:szCs w:val="20"/>
          <w:lang w:val="uk-UA"/>
        </w:rPr>
        <w:t>більш чітко</w:t>
      </w:r>
      <w:r w:rsidRPr="0088199A">
        <w:rPr>
          <w:rFonts w:ascii="Times New Roman" w:hAnsi="Times New Roman"/>
          <w:sz w:val="20"/>
          <w:szCs w:val="20"/>
          <w:lang w:val="uk-UA"/>
        </w:rPr>
        <w:t xml:space="preserve"> врегульована відповідно до пропорційності розмірів</w:t>
      </w:r>
      <w:r w:rsidR="00132BA7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податкових правопорушень.</w:t>
      </w:r>
      <w:r w:rsidR="00132BA7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Суспільству потрібно знайти ту рівноважну крапку, коли платник податків налаштований, в кращому варіанті, сплатити в повному обсязі податки, збори, інші обов</w:t>
      </w:r>
      <w:r w:rsidR="00A55E28" w:rsidRPr="0088199A">
        <w:rPr>
          <w:rFonts w:ascii="Times New Roman" w:hAnsi="Times New Roman"/>
          <w:sz w:val="20"/>
          <w:szCs w:val="20"/>
          <w:lang w:val="uk-UA"/>
        </w:rPr>
        <w:t>’</w:t>
      </w:r>
      <w:r w:rsidRPr="0088199A">
        <w:rPr>
          <w:rFonts w:ascii="Times New Roman" w:hAnsi="Times New Roman"/>
          <w:sz w:val="20"/>
          <w:szCs w:val="20"/>
          <w:lang w:val="uk-UA"/>
        </w:rPr>
        <w:t>язкові платежі, ніж обходити різними злочинними способами їх, а державна податкова політика мала б на меті не забивання платників податків величезною кількістю різних платежів, а навпаки, максимально спростити податкову систему в країні. Існуючий податковий тиск, зависокий, тому платники</w:t>
      </w:r>
      <w:r w:rsidR="00FB6827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88199A">
        <w:rPr>
          <w:rFonts w:ascii="Times New Roman" w:hAnsi="Times New Roman"/>
          <w:sz w:val="20"/>
          <w:szCs w:val="20"/>
          <w:lang w:val="uk-UA"/>
        </w:rPr>
        <w:t>податків намагаються в будь-який спосіб уникнути або обійти певні види платежів.</w:t>
      </w:r>
    </w:p>
    <w:p w:rsidR="001979E2" w:rsidRPr="0088199A" w:rsidRDefault="001979E2" w:rsidP="0088199A">
      <w:pPr>
        <w:pStyle w:val="a3"/>
        <w:ind w:firstLine="70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979E2" w:rsidRPr="0088199A" w:rsidRDefault="001979E2" w:rsidP="0088199A">
      <w:pPr>
        <w:pStyle w:val="a3"/>
        <w:ind w:firstLine="708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88199A">
        <w:rPr>
          <w:rFonts w:ascii="Times New Roman" w:hAnsi="Times New Roman"/>
          <w:b/>
          <w:sz w:val="20"/>
          <w:szCs w:val="20"/>
          <w:lang w:val="uk-UA"/>
        </w:rPr>
        <w:t xml:space="preserve">Список </w:t>
      </w:r>
      <w:r w:rsidR="00C82E06" w:rsidRPr="0088199A">
        <w:rPr>
          <w:rFonts w:ascii="Times New Roman" w:hAnsi="Times New Roman"/>
          <w:b/>
          <w:sz w:val="20"/>
          <w:szCs w:val="20"/>
          <w:lang w:val="uk-UA"/>
        </w:rPr>
        <w:t>літератури</w:t>
      </w:r>
    </w:p>
    <w:p w:rsidR="00C82E06" w:rsidRPr="0088199A" w:rsidRDefault="001979E2" w:rsidP="0088199A">
      <w:pPr>
        <w:pStyle w:val="ad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1.</w:t>
      </w:r>
      <w:r w:rsidR="00A25164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82E06" w:rsidRPr="0088199A">
        <w:rPr>
          <w:rFonts w:ascii="Times New Roman" w:hAnsi="Times New Roman"/>
          <w:bCs/>
          <w:sz w:val="20"/>
          <w:szCs w:val="20"/>
          <w:lang w:val="uk-UA"/>
        </w:rPr>
        <w:t xml:space="preserve">Податковий кодекс України від 2 грудня 2010 року №2755-VI / [Електронний ресурс]. - Режим доступу: </w:t>
      </w:r>
      <w:hyperlink r:id="rId8" w:history="1">
        <w:r w:rsidR="00C82E06" w:rsidRPr="0088199A">
          <w:rPr>
            <w:rStyle w:val="aa"/>
            <w:rFonts w:ascii="Times New Roman" w:hAnsi="Times New Roman"/>
            <w:sz w:val="20"/>
            <w:szCs w:val="20"/>
            <w:lang w:val="uk-UA"/>
          </w:rPr>
          <w:t>http://zakon3.rada.gov.ua/laws/show/2755-17</w:t>
        </w:r>
      </w:hyperlink>
    </w:p>
    <w:p w:rsidR="00A25164" w:rsidRPr="0088199A" w:rsidRDefault="00A25164" w:rsidP="0088199A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2. Кодекс України про адміністративні правопорушення // Відомості Верховної Ради України. – 2010. – №10. – Ст.108.</w:t>
      </w:r>
    </w:p>
    <w:p w:rsidR="00A25164" w:rsidRPr="0088199A" w:rsidRDefault="00A25164" w:rsidP="0088199A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3. Кримінальний кодекс України // Відомості Верховної Ради України. – 2010. – №10. – Ст.108.</w:t>
      </w:r>
    </w:p>
    <w:p w:rsidR="00023B68" w:rsidRPr="0088199A" w:rsidRDefault="00A25164" w:rsidP="0088199A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4</w:t>
      </w:r>
      <w:r w:rsidR="001979E2" w:rsidRPr="0088199A">
        <w:rPr>
          <w:rFonts w:ascii="Times New Roman" w:hAnsi="Times New Roman"/>
          <w:sz w:val="20"/>
          <w:szCs w:val="20"/>
          <w:lang w:val="uk-UA"/>
        </w:rPr>
        <w:t>. Гетманцев Д. О. Юридична відповідальність за податкові право</w:t>
      </w:r>
      <w:r w:rsidR="007F66D8" w:rsidRPr="0088199A">
        <w:rPr>
          <w:rFonts w:ascii="Times New Roman" w:hAnsi="Times New Roman"/>
          <w:sz w:val="20"/>
          <w:szCs w:val="20"/>
          <w:lang w:val="uk-UA"/>
        </w:rPr>
        <w:t>порушення : наук.-практ. посіб.</w:t>
      </w:r>
      <w:r w:rsidR="001979E2" w:rsidRPr="0088199A">
        <w:rPr>
          <w:rFonts w:ascii="Times New Roman" w:hAnsi="Times New Roman"/>
          <w:sz w:val="20"/>
          <w:szCs w:val="20"/>
          <w:lang w:val="uk-UA"/>
        </w:rPr>
        <w:t>/ Д. О. Гетманцев, Р. В. Макарчук, Я. С. Толкачов; Нац. шк. суддів України, Ю</w:t>
      </w:r>
      <w:r w:rsidR="007F66D8" w:rsidRPr="0088199A">
        <w:rPr>
          <w:rFonts w:ascii="Times New Roman" w:hAnsi="Times New Roman"/>
          <w:sz w:val="20"/>
          <w:szCs w:val="20"/>
          <w:lang w:val="uk-UA"/>
        </w:rPr>
        <w:t xml:space="preserve">рид. компанія «Jurimex». – Київ: Юрінком Інтер, 2015. – 748 </w:t>
      </w:r>
      <w:r w:rsidR="001979E2" w:rsidRPr="0088199A">
        <w:rPr>
          <w:rFonts w:ascii="Times New Roman" w:hAnsi="Times New Roman"/>
          <w:sz w:val="20"/>
          <w:szCs w:val="20"/>
          <w:lang w:val="uk-UA"/>
        </w:rPr>
        <w:t>с.</w:t>
      </w:r>
      <w:r w:rsidR="00023B68" w:rsidRPr="0088199A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44381" w:rsidRPr="0088199A">
        <w:rPr>
          <w:rFonts w:ascii="Times New Roman" w:hAnsi="Times New Roman"/>
          <w:sz w:val="20"/>
          <w:szCs w:val="20"/>
          <w:lang w:val="uk-UA"/>
        </w:rPr>
        <w:t xml:space="preserve">[Електронний ресурс]. – Режим доступу: </w:t>
      </w:r>
      <w:hyperlink r:id="rId9" w:anchor="42" w:history="1">
        <w:r w:rsidR="00023B68" w:rsidRPr="0088199A">
          <w:rPr>
            <w:rStyle w:val="aa"/>
            <w:rFonts w:ascii="Times New Roman" w:hAnsi="Times New Roman"/>
            <w:sz w:val="20"/>
            <w:szCs w:val="20"/>
            <w:lang w:val="uk-UA"/>
          </w:rPr>
          <w:t>http://pidruchniki.com/75847/pravo/finansova_vidpovidalnist_okremiy_yuridichnoyi_vidpovidalnosti#42</w:t>
        </w:r>
      </w:hyperlink>
    </w:p>
    <w:p w:rsidR="001979E2" w:rsidRPr="0088199A" w:rsidRDefault="00A25164" w:rsidP="0088199A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5</w:t>
      </w:r>
      <w:r w:rsidR="001979E2" w:rsidRPr="0088199A">
        <w:rPr>
          <w:rFonts w:ascii="Times New Roman" w:hAnsi="Times New Roman"/>
          <w:sz w:val="20"/>
          <w:szCs w:val="20"/>
          <w:lang w:val="uk-UA"/>
        </w:rPr>
        <w:t>. Іванський А. Й. Фінансово-правова відпов</w:t>
      </w:r>
      <w:r w:rsidR="00CA0968" w:rsidRPr="0088199A">
        <w:rPr>
          <w:rFonts w:ascii="Times New Roman" w:hAnsi="Times New Roman"/>
          <w:sz w:val="20"/>
          <w:szCs w:val="20"/>
          <w:lang w:val="uk-UA"/>
        </w:rPr>
        <w:t>ідальність: теоретичний аналіз:</w:t>
      </w:r>
      <w:r w:rsidR="001979E2" w:rsidRPr="0088199A">
        <w:rPr>
          <w:rFonts w:ascii="Times New Roman" w:hAnsi="Times New Roman"/>
          <w:sz w:val="20"/>
          <w:szCs w:val="20"/>
          <w:lang w:val="uk-UA"/>
        </w:rPr>
        <w:t xml:space="preserve"> моногр</w:t>
      </w:r>
      <w:r w:rsidR="00C82E06" w:rsidRPr="0088199A">
        <w:rPr>
          <w:rFonts w:ascii="Times New Roman" w:hAnsi="Times New Roman"/>
          <w:sz w:val="20"/>
          <w:szCs w:val="20"/>
          <w:lang w:val="uk-UA"/>
        </w:rPr>
        <w:t>афія / А. Й. Іванський. – Одеса</w:t>
      </w:r>
      <w:r w:rsidR="001979E2" w:rsidRPr="0088199A">
        <w:rPr>
          <w:rFonts w:ascii="Times New Roman" w:hAnsi="Times New Roman"/>
          <w:sz w:val="20"/>
          <w:szCs w:val="20"/>
          <w:lang w:val="uk-UA"/>
        </w:rPr>
        <w:t>: Юридична література, 2008. – 504 с.</w:t>
      </w:r>
    </w:p>
    <w:p w:rsidR="001979E2" w:rsidRPr="0088199A" w:rsidRDefault="00A25164" w:rsidP="0088199A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6</w:t>
      </w:r>
      <w:r w:rsidR="001979E2" w:rsidRPr="0088199A">
        <w:rPr>
          <w:rFonts w:ascii="Times New Roman" w:hAnsi="Times New Roman"/>
          <w:sz w:val="20"/>
          <w:szCs w:val="20"/>
          <w:lang w:val="uk-UA"/>
        </w:rPr>
        <w:t>. Міщенко Л. В. Суттєві риси податкової відповідальності / Л. В. Міщенко // Право і безпека. – 2011. – № 4. – С. 2</w:t>
      </w:r>
      <w:r w:rsidR="007F66D8" w:rsidRPr="0088199A">
        <w:rPr>
          <w:rFonts w:ascii="Times New Roman" w:hAnsi="Times New Roman"/>
          <w:sz w:val="20"/>
          <w:szCs w:val="20"/>
          <w:lang w:val="uk-UA"/>
        </w:rPr>
        <w:t>03</w:t>
      </w:r>
      <w:r w:rsidR="001979E2" w:rsidRPr="0088199A">
        <w:rPr>
          <w:rFonts w:ascii="Times New Roman" w:hAnsi="Times New Roman"/>
          <w:sz w:val="20"/>
          <w:szCs w:val="20"/>
          <w:lang w:val="uk-UA"/>
        </w:rPr>
        <w:t>–2</w:t>
      </w:r>
      <w:r w:rsidR="007F66D8" w:rsidRPr="0088199A">
        <w:rPr>
          <w:rFonts w:ascii="Times New Roman" w:hAnsi="Times New Roman"/>
          <w:sz w:val="20"/>
          <w:szCs w:val="20"/>
          <w:lang w:val="uk-UA"/>
        </w:rPr>
        <w:t>06</w:t>
      </w:r>
      <w:r w:rsidR="001979E2" w:rsidRPr="0088199A">
        <w:rPr>
          <w:rFonts w:ascii="Times New Roman" w:hAnsi="Times New Roman"/>
          <w:sz w:val="20"/>
          <w:szCs w:val="20"/>
          <w:lang w:val="uk-UA"/>
        </w:rPr>
        <w:t>.</w:t>
      </w:r>
    </w:p>
    <w:p w:rsidR="001A0BBF" w:rsidRPr="00A55E28" w:rsidRDefault="00A25164" w:rsidP="00A55E2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88199A">
        <w:rPr>
          <w:rFonts w:ascii="Times New Roman" w:hAnsi="Times New Roman"/>
          <w:sz w:val="20"/>
          <w:szCs w:val="20"/>
          <w:lang w:val="uk-UA"/>
        </w:rPr>
        <w:t>7</w:t>
      </w:r>
      <w:r w:rsidR="001A0BBF" w:rsidRPr="0088199A">
        <w:rPr>
          <w:rFonts w:ascii="Times New Roman" w:hAnsi="Times New Roman"/>
          <w:sz w:val="20"/>
          <w:szCs w:val="20"/>
          <w:lang w:val="uk-UA"/>
        </w:rPr>
        <w:t>. Демський Е. Ф. Відповідальність за правопорушення у сфері оподаткування та її процесуальне забезпечення / Е</w:t>
      </w:r>
      <w:r w:rsidR="00CA0968" w:rsidRPr="0088199A">
        <w:rPr>
          <w:rFonts w:ascii="Times New Roman" w:hAnsi="Times New Roman"/>
          <w:sz w:val="20"/>
          <w:szCs w:val="20"/>
          <w:lang w:val="uk-UA"/>
        </w:rPr>
        <w:t xml:space="preserve">. Ф. Демський, Н. В. Добрянська // </w:t>
      </w:r>
      <w:r w:rsidR="00CA0968" w:rsidRPr="0088199A">
        <w:rPr>
          <w:rFonts w:ascii="Times New Roman" w:hAnsi="Times New Roman"/>
          <w:sz w:val="20"/>
          <w:szCs w:val="20"/>
          <w:shd w:val="clear" w:color="auto" w:fill="F9F9F9"/>
          <w:lang w:val="uk-UA"/>
        </w:rPr>
        <w:t>Бюлетень Міністерства юстиції України.</w:t>
      </w:r>
      <w:r w:rsidR="001A0BBF" w:rsidRPr="0088199A">
        <w:rPr>
          <w:rFonts w:ascii="Times New Roman" w:hAnsi="Times New Roman"/>
          <w:sz w:val="20"/>
          <w:szCs w:val="20"/>
          <w:lang w:val="uk-UA"/>
        </w:rPr>
        <w:t xml:space="preserve"> – 2011. – № 5. – С.39-45.</w:t>
      </w:r>
    </w:p>
    <w:sectPr w:rsidR="001A0BBF" w:rsidRPr="00A55E28" w:rsidSect="00A55E28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FF" w:rsidRDefault="00411CFF" w:rsidP="00F7527C">
      <w:pPr>
        <w:spacing w:after="0" w:line="240" w:lineRule="auto"/>
      </w:pPr>
      <w:r>
        <w:separator/>
      </w:r>
    </w:p>
  </w:endnote>
  <w:endnote w:type="continuationSeparator" w:id="0">
    <w:p w:rsidR="00411CFF" w:rsidRDefault="00411CFF" w:rsidP="00F7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E2" w:rsidRDefault="00B546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03DED" w:rsidRPr="00003DED">
      <w:rPr>
        <w:noProof/>
        <w:lang w:val="ru-RU"/>
      </w:rPr>
      <w:t>1</w:t>
    </w:r>
    <w:r>
      <w:rPr>
        <w:noProof/>
        <w:lang w:val="ru-RU"/>
      </w:rPr>
      <w:fldChar w:fldCharType="end"/>
    </w:r>
  </w:p>
  <w:p w:rsidR="001979E2" w:rsidRDefault="001979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FF" w:rsidRDefault="00411CFF" w:rsidP="00F7527C">
      <w:pPr>
        <w:spacing w:after="0" w:line="240" w:lineRule="auto"/>
      </w:pPr>
      <w:r>
        <w:separator/>
      </w:r>
    </w:p>
  </w:footnote>
  <w:footnote w:type="continuationSeparator" w:id="0">
    <w:p w:rsidR="00411CFF" w:rsidRDefault="00411CFF" w:rsidP="00F7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2FF"/>
    <w:multiLevelType w:val="hybridMultilevel"/>
    <w:tmpl w:val="E292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E5870"/>
    <w:multiLevelType w:val="hybridMultilevel"/>
    <w:tmpl w:val="4EE8A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8757E"/>
    <w:multiLevelType w:val="hybridMultilevel"/>
    <w:tmpl w:val="EA02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8F2729"/>
    <w:multiLevelType w:val="hybridMultilevel"/>
    <w:tmpl w:val="0A1E5C5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779"/>
    <w:rsid w:val="00003303"/>
    <w:rsid w:val="00003DED"/>
    <w:rsid w:val="00017FD4"/>
    <w:rsid w:val="00023B68"/>
    <w:rsid w:val="0002400F"/>
    <w:rsid w:val="0003089F"/>
    <w:rsid w:val="00035B1F"/>
    <w:rsid w:val="00035D83"/>
    <w:rsid w:val="00041A09"/>
    <w:rsid w:val="00041E75"/>
    <w:rsid w:val="00043086"/>
    <w:rsid w:val="00043E4A"/>
    <w:rsid w:val="00044A6C"/>
    <w:rsid w:val="00063110"/>
    <w:rsid w:val="0007114C"/>
    <w:rsid w:val="00082733"/>
    <w:rsid w:val="000847C3"/>
    <w:rsid w:val="00087FFD"/>
    <w:rsid w:val="000A0F12"/>
    <w:rsid w:val="000B3AB2"/>
    <w:rsid w:val="000B3E44"/>
    <w:rsid w:val="000B72CA"/>
    <w:rsid w:val="000C038A"/>
    <w:rsid w:val="000D46A3"/>
    <w:rsid w:val="000D7F93"/>
    <w:rsid w:val="000E44AA"/>
    <w:rsid w:val="000F5F8C"/>
    <w:rsid w:val="001033EC"/>
    <w:rsid w:val="0010577B"/>
    <w:rsid w:val="00107C44"/>
    <w:rsid w:val="00127733"/>
    <w:rsid w:val="0013019B"/>
    <w:rsid w:val="00132BA7"/>
    <w:rsid w:val="00141C24"/>
    <w:rsid w:val="0015528D"/>
    <w:rsid w:val="00155EDB"/>
    <w:rsid w:val="00162618"/>
    <w:rsid w:val="001743EB"/>
    <w:rsid w:val="00197735"/>
    <w:rsid w:val="001979E2"/>
    <w:rsid w:val="001A0BBF"/>
    <w:rsid w:val="001A1ADE"/>
    <w:rsid w:val="001B2773"/>
    <w:rsid w:val="001B3AFC"/>
    <w:rsid w:val="001B4FC8"/>
    <w:rsid w:val="001C3704"/>
    <w:rsid w:val="001C79E8"/>
    <w:rsid w:val="001D3886"/>
    <w:rsid w:val="001D4E9E"/>
    <w:rsid w:val="001E25B5"/>
    <w:rsid w:val="001E5F79"/>
    <w:rsid w:val="001F0DE5"/>
    <w:rsid w:val="001F2D4F"/>
    <w:rsid w:val="00203403"/>
    <w:rsid w:val="00212CD5"/>
    <w:rsid w:val="00217A4F"/>
    <w:rsid w:val="00222582"/>
    <w:rsid w:val="002238F3"/>
    <w:rsid w:val="00242C04"/>
    <w:rsid w:val="00245630"/>
    <w:rsid w:val="002474A1"/>
    <w:rsid w:val="00247BFE"/>
    <w:rsid w:val="002673BD"/>
    <w:rsid w:val="00270648"/>
    <w:rsid w:val="002742D0"/>
    <w:rsid w:val="00280172"/>
    <w:rsid w:val="00284678"/>
    <w:rsid w:val="00285BF4"/>
    <w:rsid w:val="00287FF5"/>
    <w:rsid w:val="002A0757"/>
    <w:rsid w:val="002A34E3"/>
    <w:rsid w:val="002A3EBA"/>
    <w:rsid w:val="002A570A"/>
    <w:rsid w:val="002B5121"/>
    <w:rsid w:val="002B5C7F"/>
    <w:rsid w:val="002C1A82"/>
    <w:rsid w:val="002D489D"/>
    <w:rsid w:val="002D6022"/>
    <w:rsid w:val="002D6208"/>
    <w:rsid w:val="00312844"/>
    <w:rsid w:val="00313779"/>
    <w:rsid w:val="003204A7"/>
    <w:rsid w:val="0033712C"/>
    <w:rsid w:val="00353DE5"/>
    <w:rsid w:val="0035623B"/>
    <w:rsid w:val="003650B3"/>
    <w:rsid w:val="00371401"/>
    <w:rsid w:val="00382670"/>
    <w:rsid w:val="003845FD"/>
    <w:rsid w:val="00395AA9"/>
    <w:rsid w:val="003963E0"/>
    <w:rsid w:val="003B4BE9"/>
    <w:rsid w:val="003C55A7"/>
    <w:rsid w:val="003C73F1"/>
    <w:rsid w:val="003D1BB6"/>
    <w:rsid w:val="003E3DAA"/>
    <w:rsid w:val="003E4FE6"/>
    <w:rsid w:val="003F0BBF"/>
    <w:rsid w:val="003F24D0"/>
    <w:rsid w:val="003F5A46"/>
    <w:rsid w:val="00406AE5"/>
    <w:rsid w:val="004073BB"/>
    <w:rsid w:val="0041076B"/>
    <w:rsid w:val="00411CFF"/>
    <w:rsid w:val="00412DBB"/>
    <w:rsid w:val="004134AD"/>
    <w:rsid w:val="00420A24"/>
    <w:rsid w:val="004213D8"/>
    <w:rsid w:val="00433A59"/>
    <w:rsid w:val="00436BE6"/>
    <w:rsid w:val="0043711C"/>
    <w:rsid w:val="00442626"/>
    <w:rsid w:val="0044486F"/>
    <w:rsid w:val="004452B7"/>
    <w:rsid w:val="00445C5B"/>
    <w:rsid w:val="00451CB7"/>
    <w:rsid w:val="004566AF"/>
    <w:rsid w:val="00464043"/>
    <w:rsid w:val="0047246B"/>
    <w:rsid w:val="00495FB1"/>
    <w:rsid w:val="0049782A"/>
    <w:rsid w:val="004A051C"/>
    <w:rsid w:val="004A1F52"/>
    <w:rsid w:val="004A61BD"/>
    <w:rsid w:val="004A7BBF"/>
    <w:rsid w:val="004B0BD5"/>
    <w:rsid w:val="004B1647"/>
    <w:rsid w:val="004B5AD9"/>
    <w:rsid w:val="004C7768"/>
    <w:rsid w:val="004D5DDD"/>
    <w:rsid w:val="004E6601"/>
    <w:rsid w:val="00506735"/>
    <w:rsid w:val="005176CB"/>
    <w:rsid w:val="0052202A"/>
    <w:rsid w:val="00523446"/>
    <w:rsid w:val="00523B0A"/>
    <w:rsid w:val="005244DD"/>
    <w:rsid w:val="00524811"/>
    <w:rsid w:val="00527CB7"/>
    <w:rsid w:val="005318F8"/>
    <w:rsid w:val="00537EA0"/>
    <w:rsid w:val="00541661"/>
    <w:rsid w:val="005462CA"/>
    <w:rsid w:val="005509D6"/>
    <w:rsid w:val="005522DB"/>
    <w:rsid w:val="00557D98"/>
    <w:rsid w:val="0056021C"/>
    <w:rsid w:val="0056584E"/>
    <w:rsid w:val="005664CA"/>
    <w:rsid w:val="00570EA4"/>
    <w:rsid w:val="005827A7"/>
    <w:rsid w:val="0058280C"/>
    <w:rsid w:val="0058361F"/>
    <w:rsid w:val="00591243"/>
    <w:rsid w:val="005926B4"/>
    <w:rsid w:val="00594D14"/>
    <w:rsid w:val="0059748A"/>
    <w:rsid w:val="00597D9B"/>
    <w:rsid w:val="005B45FE"/>
    <w:rsid w:val="005C0166"/>
    <w:rsid w:val="005C0E22"/>
    <w:rsid w:val="005D14C4"/>
    <w:rsid w:val="005D6DA8"/>
    <w:rsid w:val="0060485F"/>
    <w:rsid w:val="00606586"/>
    <w:rsid w:val="0062110A"/>
    <w:rsid w:val="00621B40"/>
    <w:rsid w:val="00624E58"/>
    <w:rsid w:val="00626AF1"/>
    <w:rsid w:val="00626E18"/>
    <w:rsid w:val="00633CCE"/>
    <w:rsid w:val="00635C12"/>
    <w:rsid w:val="006371EC"/>
    <w:rsid w:val="00642598"/>
    <w:rsid w:val="00646DE8"/>
    <w:rsid w:val="00647162"/>
    <w:rsid w:val="0066293C"/>
    <w:rsid w:val="006710FA"/>
    <w:rsid w:val="0067738B"/>
    <w:rsid w:val="00693E69"/>
    <w:rsid w:val="00695E93"/>
    <w:rsid w:val="00696926"/>
    <w:rsid w:val="00696BFE"/>
    <w:rsid w:val="006A15A5"/>
    <w:rsid w:val="006A3B81"/>
    <w:rsid w:val="006A4BA3"/>
    <w:rsid w:val="006A7A20"/>
    <w:rsid w:val="006B02DD"/>
    <w:rsid w:val="006B07A4"/>
    <w:rsid w:val="006C3583"/>
    <w:rsid w:val="006D4C22"/>
    <w:rsid w:val="006D4C7A"/>
    <w:rsid w:val="006D66D5"/>
    <w:rsid w:val="006E626C"/>
    <w:rsid w:val="006F0688"/>
    <w:rsid w:val="007004C4"/>
    <w:rsid w:val="007007FF"/>
    <w:rsid w:val="00716980"/>
    <w:rsid w:val="007249CE"/>
    <w:rsid w:val="007276E2"/>
    <w:rsid w:val="00734AD6"/>
    <w:rsid w:val="00740978"/>
    <w:rsid w:val="007409EB"/>
    <w:rsid w:val="00744A6E"/>
    <w:rsid w:val="00747307"/>
    <w:rsid w:val="00751185"/>
    <w:rsid w:val="00751395"/>
    <w:rsid w:val="007562D8"/>
    <w:rsid w:val="00757993"/>
    <w:rsid w:val="00762A88"/>
    <w:rsid w:val="007746F4"/>
    <w:rsid w:val="00776D40"/>
    <w:rsid w:val="00795336"/>
    <w:rsid w:val="007B0DE4"/>
    <w:rsid w:val="007C0046"/>
    <w:rsid w:val="007C03E1"/>
    <w:rsid w:val="007C4937"/>
    <w:rsid w:val="007D59A8"/>
    <w:rsid w:val="007E22A2"/>
    <w:rsid w:val="007F341D"/>
    <w:rsid w:val="007F4F5F"/>
    <w:rsid w:val="007F66D8"/>
    <w:rsid w:val="007F6A9D"/>
    <w:rsid w:val="007F7EE1"/>
    <w:rsid w:val="008060E7"/>
    <w:rsid w:val="0082248B"/>
    <w:rsid w:val="00825E22"/>
    <w:rsid w:val="008311F3"/>
    <w:rsid w:val="008313D2"/>
    <w:rsid w:val="0083356D"/>
    <w:rsid w:val="00846940"/>
    <w:rsid w:val="00850B97"/>
    <w:rsid w:val="00855982"/>
    <w:rsid w:val="008574D5"/>
    <w:rsid w:val="00857DCD"/>
    <w:rsid w:val="0088199A"/>
    <w:rsid w:val="008864C6"/>
    <w:rsid w:val="008877AA"/>
    <w:rsid w:val="00897609"/>
    <w:rsid w:val="008A63C5"/>
    <w:rsid w:val="008A6D0A"/>
    <w:rsid w:val="008B0780"/>
    <w:rsid w:val="008D4D97"/>
    <w:rsid w:val="008D57D9"/>
    <w:rsid w:val="008D7843"/>
    <w:rsid w:val="008E1033"/>
    <w:rsid w:val="008E2E5C"/>
    <w:rsid w:val="008E6FDD"/>
    <w:rsid w:val="00920766"/>
    <w:rsid w:val="009217D4"/>
    <w:rsid w:val="00926F71"/>
    <w:rsid w:val="0093443E"/>
    <w:rsid w:val="0094203A"/>
    <w:rsid w:val="00945852"/>
    <w:rsid w:val="0095095D"/>
    <w:rsid w:val="0095250F"/>
    <w:rsid w:val="00963FBC"/>
    <w:rsid w:val="00965C1D"/>
    <w:rsid w:val="0097067E"/>
    <w:rsid w:val="00974CD3"/>
    <w:rsid w:val="00976D39"/>
    <w:rsid w:val="009909D7"/>
    <w:rsid w:val="00993B88"/>
    <w:rsid w:val="00994556"/>
    <w:rsid w:val="00995CF9"/>
    <w:rsid w:val="009976FD"/>
    <w:rsid w:val="009A3B01"/>
    <w:rsid w:val="009A43DB"/>
    <w:rsid w:val="009A5FC2"/>
    <w:rsid w:val="009B77B2"/>
    <w:rsid w:val="009C0826"/>
    <w:rsid w:val="009C08CA"/>
    <w:rsid w:val="009C2660"/>
    <w:rsid w:val="009D5F4A"/>
    <w:rsid w:val="009E4D6F"/>
    <w:rsid w:val="009F0BF7"/>
    <w:rsid w:val="009F2C38"/>
    <w:rsid w:val="009F3A0D"/>
    <w:rsid w:val="009F470C"/>
    <w:rsid w:val="00A06339"/>
    <w:rsid w:val="00A10601"/>
    <w:rsid w:val="00A14F91"/>
    <w:rsid w:val="00A25164"/>
    <w:rsid w:val="00A26F93"/>
    <w:rsid w:val="00A34F25"/>
    <w:rsid w:val="00A3700E"/>
    <w:rsid w:val="00A41CE4"/>
    <w:rsid w:val="00A5068E"/>
    <w:rsid w:val="00A55E28"/>
    <w:rsid w:val="00A60ECA"/>
    <w:rsid w:val="00A625A3"/>
    <w:rsid w:val="00A70503"/>
    <w:rsid w:val="00A76A5E"/>
    <w:rsid w:val="00A80EEB"/>
    <w:rsid w:val="00A840F7"/>
    <w:rsid w:val="00A87092"/>
    <w:rsid w:val="00A91A11"/>
    <w:rsid w:val="00A97CCD"/>
    <w:rsid w:val="00AA10EE"/>
    <w:rsid w:val="00AA6E36"/>
    <w:rsid w:val="00AA7021"/>
    <w:rsid w:val="00AB1F19"/>
    <w:rsid w:val="00AB352D"/>
    <w:rsid w:val="00AB512D"/>
    <w:rsid w:val="00AB5464"/>
    <w:rsid w:val="00AD1A6D"/>
    <w:rsid w:val="00AD7B22"/>
    <w:rsid w:val="00AE34AA"/>
    <w:rsid w:val="00B01C3B"/>
    <w:rsid w:val="00B05308"/>
    <w:rsid w:val="00B0572B"/>
    <w:rsid w:val="00B1458F"/>
    <w:rsid w:val="00B14BE4"/>
    <w:rsid w:val="00B14F74"/>
    <w:rsid w:val="00B172DA"/>
    <w:rsid w:val="00B3629B"/>
    <w:rsid w:val="00B42063"/>
    <w:rsid w:val="00B459BB"/>
    <w:rsid w:val="00B45AD6"/>
    <w:rsid w:val="00B468D6"/>
    <w:rsid w:val="00B46AF6"/>
    <w:rsid w:val="00B5216E"/>
    <w:rsid w:val="00B543D3"/>
    <w:rsid w:val="00B54609"/>
    <w:rsid w:val="00B609E1"/>
    <w:rsid w:val="00B616F0"/>
    <w:rsid w:val="00B778E0"/>
    <w:rsid w:val="00BA5DFB"/>
    <w:rsid w:val="00BB09D2"/>
    <w:rsid w:val="00BB4181"/>
    <w:rsid w:val="00BC31CF"/>
    <w:rsid w:val="00BC3B0F"/>
    <w:rsid w:val="00BC4D26"/>
    <w:rsid w:val="00BC7ED8"/>
    <w:rsid w:val="00BD0596"/>
    <w:rsid w:val="00BD4C0E"/>
    <w:rsid w:val="00BE0030"/>
    <w:rsid w:val="00BE1419"/>
    <w:rsid w:val="00BE1898"/>
    <w:rsid w:val="00BF4C78"/>
    <w:rsid w:val="00C01AD5"/>
    <w:rsid w:val="00C02B6A"/>
    <w:rsid w:val="00C1316A"/>
    <w:rsid w:val="00C132E9"/>
    <w:rsid w:val="00C135B4"/>
    <w:rsid w:val="00C13F01"/>
    <w:rsid w:val="00C16447"/>
    <w:rsid w:val="00C20AF7"/>
    <w:rsid w:val="00C222C0"/>
    <w:rsid w:val="00C257EF"/>
    <w:rsid w:val="00C32350"/>
    <w:rsid w:val="00C34B85"/>
    <w:rsid w:val="00C64121"/>
    <w:rsid w:val="00C64980"/>
    <w:rsid w:val="00C66185"/>
    <w:rsid w:val="00C72ECE"/>
    <w:rsid w:val="00C81E0A"/>
    <w:rsid w:val="00C82E06"/>
    <w:rsid w:val="00C93E9E"/>
    <w:rsid w:val="00C9435D"/>
    <w:rsid w:val="00C965FB"/>
    <w:rsid w:val="00CA0968"/>
    <w:rsid w:val="00CA16FC"/>
    <w:rsid w:val="00CB0D54"/>
    <w:rsid w:val="00CB593A"/>
    <w:rsid w:val="00CC07F0"/>
    <w:rsid w:val="00CC2805"/>
    <w:rsid w:val="00CC3169"/>
    <w:rsid w:val="00CC3437"/>
    <w:rsid w:val="00CD0AEC"/>
    <w:rsid w:val="00CD0F47"/>
    <w:rsid w:val="00CD7ED7"/>
    <w:rsid w:val="00CE6AC2"/>
    <w:rsid w:val="00CE7907"/>
    <w:rsid w:val="00CF04B3"/>
    <w:rsid w:val="00CF080F"/>
    <w:rsid w:val="00CF3E96"/>
    <w:rsid w:val="00CF586F"/>
    <w:rsid w:val="00CF7741"/>
    <w:rsid w:val="00D13E2E"/>
    <w:rsid w:val="00D16D73"/>
    <w:rsid w:val="00D22313"/>
    <w:rsid w:val="00D241E5"/>
    <w:rsid w:val="00D277D4"/>
    <w:rsid w:val="00D3100D"/>
    <w:rsid w:val="00D35A79"/>
    <w:rsid w:val="00D3742F"/>
    <w:rsid w:val="00D40C2C"/>
    <w:rsid w:val="00D4598A"/>
    <w:rsid w:val="00D54FD9"/>
    <w:rsid w:val="00D64F0C"/>
    <w:rsid w:val="00D67BB2"/>
    <w:rsid w:val="00D8095F"/>
    <w:rsid w:val="00D83BA9"/>
    <w:rsid w:val="00D865A8"/>
    <w:rsid w:val="00D916F6"/>
    <w:rsid w:val="00DA200F"/>
    <w:rsid w:val="00DB051B"/>
    <w:rsid w:val="00DC67D2"/>
    <w:rsid w:val="00DC7363"/>
    <w:rsid w:val="00DE4783"/>
    <w:rsid w:val="00DF109B"/>
    <w:rsid w:val="00DF3685"/>
    <w:rsid w:val="00DF4553"/>
    <w:rsid w:val="00DF7A78"/>
    <w:rsid w:val="00E01CB0"/>
    <w:rsid w:val="00E040E7"/>
    <w:rsid w:val="00E11964"/>
    <w:rsid w:val="00E155C0"/>
    <w:rsid w:val="00E209C8"/>
    <w:rsid w:val="00E24134"/>
    <w:rsid w:val="00E27F47"/>
    <w:rsid w:val="00E332E2"/>
    <w:rsid w:val="00E44381"/>
    <w:rsid w:val="00E64ED1"/>
    <w:rsid w:val="00E6534A"/>
    <w:rsid w:val="00E676E8"/>
    <w:rsid w:val="00E74679"/>
    <w:rsid w:val="00E87385"/>
    <w:rsid w:val="00E90DC9"/>
    <w:rsid w:val="00E92041"/>
    <w:rsid w:val="00E929B2"/>
    <w:rsid w:val="00E92C73"/>
    <w:rsid w:val="00E95C1A"/>
    <w:rsid w:val="00E96724"/>
    <w:rsid w:val="00EA0A9B"/>
    <w:rsid w:val="00EA17DB"/>
    <w:rsid w:val="00EA43B4"/>
    <w:rsid w:val="00EA651C"/>
    <w:rsid w:val="00EA7D5C"/>
    <w:rsid w:val="00EB572E"/>
    <w:rsid w:val="00EC105A"/>
    <w:rsid w:val="00EC138D"/>
    <w:rsid w:val="00EC2980"/>
    <w:rsid w:val="00EC51AC"/>
    <w:rsid w:val="00ED5ECE"/>
    <w:rsid w:val="00EE0532"/>
    <w:rsid w:val="00EE0F42"/>
    <w:rsid w:val="00EE4C6E"/>
    <w:rsid w:val="00EE6DDB"/>
    <w:rsid w:val="00EF33B1"/>
    <w:rsid w:val="00F12951"/>
    <w:rsid w:val="00F211F8"/>
    <w:rsid w:val="00F2224B"/>
    <w:rsid w:val="00F26027"/>
    <w:rsid w:val="00F325C4"/>
    <w:rsid w:val="00F33037"/>
    <w:rsid w:val="00F34360"/>
    <w:rsid w:val="00F35E67"/>
    <w:rsid w:val="00F41B09"/>
    <w:rsid w:val="00F46CEC"/>
    <w:rsid w:val="00F51684"/>
    <w:rsid w:val="00F556A1"/>
    <w:rsid w:val="00F61D50"/>
    <w:rsid w:val="00F639C1"/>
    <w:rsid w:val="00F65FAE"/>
    <w:rsid w:val="00F7527C"/>
    <w:rsid w:val="00F760F2"/>
    <w:rsid w:val="00F821E9"/>
    <w:rsid w:val="00F873A0"/>
    <w:rsid w:val="00F967EA"/>
    <w:rsid w:val="00FA5A82"/>
    <w:rsid w:val="00FB6827"/>
    <w:rsid w:val="00FB7FCD"/>
    <w:rsid w:val="00FC6C39"/>
    <w:rsid w:val="00FD5775"/>
    <w:rsid w:val="00FE3426"/>
    <w:rsid w:val="00F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8B"/>
    <w:pPr>
      <w:spacing w:after="200" w:line="276" w:lineRule="auto"/>
    </w:pPr>
    <w:rPr>
      <w:sz w:val="22"/>
      <w:szCs w:val="22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rsid w:val="006773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738B"/>
    <w:rPr>
      <w:rFonts w:ascii="Cambria" w:hAnsi="Cambria" w:cs="Times New Roman"/>
      <w:b/>
      <w:bCs/>
      <w:color w:val="365F91"/>
      <w:sz w:val="28"/>
      <w:szCs w:val="28"/>
      <w:lang w:val="en-US" w:eastAsia="zh-CN"/>
    </w:rPr>
  </w:style>
  <w:style w:type="paragraph" w:styleId="a3">
    <w:name w:val="No Spacing"/>
    <w:uiPriority w:val="99"/>
    <w:qFormat/>
    <w:rsid w:val="0067738B"/>
    <w:rPr>
      <w:sz w:val="22"/>
      <w:szCs w:val="22"/>
      <w:lang w:val="en-US" w:eastAsia="zh-CN"/>
    </w:rPr>
  </w:style>
  <w:style w:type="character" w:styleId="a4">
    <w:name w:val="Strong"/>
    <w:uiPriority w:val="99"/>
    <w:qFormat/>
    <w:rsid w:val="0067738B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313779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F7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F7527C"/>
    <w:rPr>
      <w:rFonts w:cs="Times New Roman"/>
      <w:sz w:val="22"/>
      <w:szCs w:val="22"/>
      <w:lang w:val="en-US" w:eastAsia="zh-CN"/>
    </w:rPr>
  </w:style>
  <w:style w:type="paragraph" w:styleId="a8">
    <w:name w:val="footer"/>
    <w:basedOn w:val="a"/>
    <w:link w:val="a9"/>
    <w:uiPriority w:val="99"/>
    <w:rsid w:val="00F75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7527C"/>
    <w:rPr>
      <w:rFonts w:cs="Times New Roman"/>
      <w:sz w:val="22"/>
      <w:szCs w:val="22"/>
      <w:lang w:val="en-US" w:eastAsia="zh-CN"/>
    </w:rPr>
  </w:style>
  <w:style w:type="character" w:styleId="aa">
    <w:name w:val="Hyperlink"/>
    <w:uiPriority w:val="99"/>
    <w:unhideWhenUsed/>
    <w:rsid w:val="00C82E06"/>
    <w:rPr>
      <w:color w:val="0000FF"/>
      <w:u w:val="single"/>
    </w:rPr>
  </w:style>
  <w:style w:type="paragraph" w:styleId="ab">
    <w:name w:val="Body Text Indent"/>
    <w:basedOn w:val="a"/>
    <w:link w:val="ac"/>
    <w:semiHidden/>
    <w:unhideWhenUsed/>
    <w:rsid w:val="00C82E06"/>
    <w:pPr>
      <w:suppressAutoHyphens/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val="uk-UA"/>
    </w:rPr>
  </w:style>
  <w:style w:type="character" w:customStyle="1" w:styleId="ac">
    <w:name w:val="Основной текст с отступом Знак"/>
    <w:link w:val="ab"/>
    <w:semiHidden/>
    <w:rsid w:val="00C82E06"/>
    <w:rPr>
      <w:rFonts w:ascii="Times New Roman" w:eastAsia="Times New Roman" w:hAnsi="Times New Roman"/>
      <w:sz w:val="20"/>
      <w:szCs w:val="20"/>
      <w:lang w:val="uk-UA" w:eastAsia="zh-CN"/>
    </w:rPr>
  </w:style>
  <w:style w:type="paragraph" w:styleId="ad">
    <w:name w:val="List Paragraph"/>
    <w:basedOn w:val="a"/>
    <w:uiPriority w:val="34"/>
    <w:qFormat/>
    <w:rsid w:val="00C82E06"/>
    <w:pPr>
      <w:ind w:left="720"/>
      <w:contextualSpacing/>
    </w:pPr>
    <w:rPr>
      <w:lang w:val="ru-RU" w:eastAsia="en-US"/>
    </w:rPr>
  </w:style>
  <w:style w:type="paragraph" w:styleId="ae">
    <w:name w:val="Balloon Text"/>
    <w:basedOn w:val="a"/>
    <w:link w:val="af"/>
    <w:uiPriority w:val="99"/>
    <w:semiHidden/>
    <w:unhideWhenUsed/>
    <w:rsid w:val="00E4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44381"/>
    <w:rPr>
      <w:rFonts w:ascii="Tahoma" w:hAnsi="Tahoma" w:cs="Tahoma"/>
      <w:sz w:val="16"/>
      <w:szCs w:val="16"/>
      <w:lang w:val="en-US" w:eastAsia="zh-CN"/>
    </w:rPr>
  </w:style>
  <w:style w:type="character" w:customStyle="1" w:styleId="apple-converted-space">
    <w:name w:val="apple-converted-space"/>
    <w:rsid w:val="00CA0968"/>
  </w:style>
  <w:style w:type="paragraph" w:styleId="HTML">
    <w:name w:val="HTML Preformatted"/>
    <w:basedOn w:val="a"/>
    <w:link w:val="HTML0"/>
    <w:uiPriority w:val="99"/>
    <w:semiHidden/>
    <w:unhideWhenUsed/>
    <w:rsid w:val="00B46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semiHidden/>
    <w:rsid w:val="00B46AF6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2755-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idruchniki.com/75847/pravo/finansova_vidpovidalnist_okremiy_yuridichnoyi_vidpovidaln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ФІНАНСОВО-ПРАВОВА ВІДПОВІДАЛЬНІСТЬ ЗА ПОРУШЕННЯ ПОДАТКОВОГО ЗАКОНОДАВСТВА</vt:lpstr>
    </vt:vector>
  </TitlesOfParts>
  <Company>SPecialiST RePack</Company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ФІНАНСОВО-ПРАВОВА ВІДПОВІДАЛЬНІСТЬ ЗА ПОРУШЕННЯ ПОДАТКОВОГО ЗАКОНОДАВСТВА</dc:title>
  <dc:subject/>
  <dc:creator>BEST</dc:creator>
  <cp:keywords/>
  <dc:description/>
  <cp:lastModifiedBy>User</cp:lastModifiedBy>
  <cp:revision>23</cp:revision>
  <cp:lastPrinted>2017-05-01T08:25:00Z</cp:lastPrinted>
  <dcterms:created xsi:type="dcterms:W3CDTF">2017-04-28T11:17:00Z</dcterms:created>
  <dcterms:modified xsi:type="dcterms:W3CDTF">2017-05-05T15:21:00Z</dcterms:modified>
</cp:coreProperties>
</file>