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УДК 343.352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Толкач А. М., ст.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Берднік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С. С., студентка гр. КЮ-191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Чернігівська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» (м.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Чернігів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МАТЕРІАЛЬНИЙ КРИТЕРІЙ ЯК ОСНОВНИЙ ЕЛЕМЕНТ У РІШЕННЯХ ЄВРОПЕЙСЬКОГО СУДУ З ПРАВ ЛЮДИНИ ЩОДО ПРОВОКАЦІЇ ЗЛОЧИНІВ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Провокація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боку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актуальною проблемою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систем.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Сполучених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Штатах Америки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– США)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провокацію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визнано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обставину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усуває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винність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особи, та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вироблено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доктрину,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поліцейська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провокація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ділиться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на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правомірну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>» і 116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неправомірну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».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останньої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належать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співробітник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(особа, яка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) з метою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ініціювання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переслідування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спонукає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скоєння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той не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мав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наміру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вчинити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агента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як "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затягування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пастку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" і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оголошуються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протиправними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В той же час,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права,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характерні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для США, не є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прийнятними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Європейська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прав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суду з прав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– ЄСПЛ) як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офіційного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тлумачення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процесуального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права.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практики ЄСПЛ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у першу</w:t>
      </w:r>
      <w:proofErr w:type="gram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обґрунтованості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провокації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з’ясування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критерію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провокації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скоєно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втручання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пасивним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пасивним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причини,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лежать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прихованої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об’єктивними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підозри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заявник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причетний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схильним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скоєння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до того, як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спровокований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поліцією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Фюрч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Furcht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Німеччини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№ 54648/09, § 51,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23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2014 р.) [1, с. 637], 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поведінку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здійснювали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операцію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здійснювали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спровокувати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вчинити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інакше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скоєно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докази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розпочати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кримінальне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переслідування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(Раманаускас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Литви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№ 55146/14, § 55 [2],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Фюрч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Німеччини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№ 54648/09 § 48 [1, с. 637];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Морарі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Молдова, № 65311/09, § 31,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2016 року [3], і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Матановіч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Хорватії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§ 123 [4]).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йде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схиляння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неправомірної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співробітники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правоохоронних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ініціювали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черговий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епізод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об’єднаного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єдиним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умислом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продовжуваного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достатніх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і таких,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перевіреними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ж особою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епізодів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Єврофінаком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Франції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№ 58753/00, 7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2004 року [5]). 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Ваньян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Росії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" [6],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вектор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судового контролю в справах про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провокацію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ключовим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пунктом є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первинної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передбачувану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причетність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схильність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підозрюваного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інкримінованого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згаданого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ЄСПЛ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дублює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правову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повинна бути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перевірена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національним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судом шляхом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вжиття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достатніх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де, коли і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кого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надійшла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Вихідна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стосуватися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виявленням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- ОРЗ).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повинна бути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персоніфікованою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вказувати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схильність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особи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виду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Так, 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рішенні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"Носко і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Нефьодов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Росії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" [7] одним 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ЄСПЛ на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констатації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провокації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стало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ОРЗ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невизначеного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кола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експертної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установи,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працював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засуджений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Нефьодов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Провокація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боку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здійсненні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судочинства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актуальною проблемою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держав.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первинна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намір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вчинити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отримана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правоохоронцями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незалежної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особи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потерпілого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журналіста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.), то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сама по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розглядатися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достатня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підстава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імітації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правоохоронці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приєдналися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»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скоєння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первинна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надійшла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негласного агента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контролем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тісно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взаємодіє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правоохоронними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органами, то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сама по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достатньою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імітації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Вона повинна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перевірятися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негласних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підтверджена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то процедура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імітації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застосована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117 Коли участь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обмежується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наданням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приватній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стороні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незаконної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приватної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визначальним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фактором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Мілінієне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Литви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№ 74355/01, § 38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24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2008 року [8]).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особа не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вважатися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«приватною»,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вона, нехай формально </w:t>
      </w:r>
      <w:proofErr w:type="gram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не будучи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працівником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органу,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співпрацює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ним з причин, не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повідомленням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скоєння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Як приклад –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обігу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наркотиків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на особу,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негласні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заходи, через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стала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оперативну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знайомих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посередника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затримано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розповів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постачальника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наркотиків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і не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перевіряють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знаходять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не є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негласних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50EA8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екшейра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де Кастро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Португалії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§§ 37-38, 9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1998 року [9],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Ваньян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Росії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№ 53203/99, § 49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2005 року [6]). Суд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наголосив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чіткої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передбачуваної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санкціонування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контролю.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вважає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судовий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доцільним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засобом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таємними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заходами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Матановіч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Хорватії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§ 124 [4]).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негласних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особу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потенційно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спровоковано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якісними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Ваньян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Росії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§§ 46-47, § 135 [6]). ЄСПЛ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визнавав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спровоковано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тієї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причини,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підстави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і порядок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такого роду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сформульовані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законі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занадто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абстрактно, 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ніякого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над органом законом не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встановлювалося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правоохоронці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початок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негласної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>,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Худобін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Росії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§ 135 [10]).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Узагальнюючи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ЄСПЛ,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виокремити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вчиненням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: 1.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достатня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можливої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причетності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особи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; 2.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Правоохоронцям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приєднуватися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; 3.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агентів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повинна бути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пасивною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Таким чином,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з’ясування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критерію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провокації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час судового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підстави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пасивним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скоєно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злочин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втручання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Список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</w:rPr>
      </w:pP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суду з прав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Фюрч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Furcht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Німеччини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23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2014 року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№ 54648/09).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Правове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оперативнорозшукової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хрестоматія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укладачі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Сийплокі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М. В.,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Ступник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Я. В.,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Мацола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А. А.,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Сийплокі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С. М.; за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. ред. </w:t>
      </w:r>
      <w:r w:rsidRPr="00B50EA8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 w:rsidRPr="00B50E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50EA8">
        <w:rPr>
          <w:rFonts w:ascii="Times New Roman" w:hAnsi="Times New Roman" w:cs="Times New Roman"/>
          <w:sz w:val="28"/>
          <w:szCs w:val="28"/>
        </w:rPr>
        <w:t>Ужгород</w:t>
      </w:r>
      <w:proofErr w:type="spellEnd"/>
      <w:r w:rsidRPr="00B50E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0EA8">
        <w:rPr>
          <w:rFonts w:ascii="Times New Roman" w:hAnsi="Times New Roman" w:cs="Times New Roman"/>
          <w:sz w:val="28"/>
          <w:szCs w:val="28"/>
        </w:rPr>
        <w:t xml:space="preserve"> РІК-У, 2022. 660 с.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</w:rPr>
      </w:pPr>
      <w:r w:rsidRPr="00B50EA8">
        <w:rPr>
          <w:rFonts w:ascii="Times New Roman" w:hAnsi="Times New Roman" w:cs="Times New Roman"/>
          <w:sz w:val="28"/>
          <w:szCs w:val="28"/>
        </w:rPr>
        <w:t xml:space="preserve">2. Case of 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Ramanauskas</w:t>
      </w:r>
      <w:proofErr w:type="spellEnd"/>
      <w:r w:rsidRPr="00B50EA8">
        <w:rPr>
          <w:rFonts w:ascii="Times New Roman" w:hAnsi="Times New Roman" w:cs="Times New Roman"/>
          <w:sz w:val="28"/>
          <w:szCs w:val="28"/>
        </w:rPr>
        <w:t xml:space="preserve"> v. Lithuania: Judgment of the European Court of Human Rights, 5 February 2008 (Application no. 74420/01). URL: http://hudoc.echr.coe.int/eng?i=001-84935 (date of access: 10.12.2022).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суду з прав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Морарі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Молдова»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2016 року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№ 4771/09). </w:t>
      </w:r>
      <w:r w:rsidRPr="00B50EA8">
        <w:rPr>
          <w:rFonts w:ascii="Times New Roman" w:hAnsi="Times New Roman" w:cs="Times New Roman"/>
          <w:sz w:val="28"/>
          <w:szCs w:val="28"/>
        </w:rPr>
        <w:t>URL</w:t>
      </w: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50EA8">
        <w:rPr>
          <w:rFonts w:ascii="Times New Roman" w:hAnsi="Times New Roman" w:cs="Times New Roman"/>
          <w:sz w:val="28"/>
          <w:szCs w:val="28"/>
        </w:rPr>
        <w:t>http</w:t>
      </w:r>
      <w:r w:rsidRPr="00B50EA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surl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50EA8">
        <w:rPr>
          <w:rFonts w:ascii="Times New Roman" w:hAnsi="Times New Roman" w:cs="Times New Roman"/>
          <w:sz w:val="28"/>
          <w:szCs w:val="28"/>
        </w:rPr>
        <w:t>li</w:t>
      </w:r>
      <w:r w:rsidRPr="00B50EA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eaqzy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50EA8">
        <w:rPr>
          <w:rFonts w:ascii="Times New Roman" w:hAnsi="Times New Roman" w:cs="Times New Roman"/>
          <w:sz w:val="28"/>
          <w:szCs w:val="28"/>
        </w:rPr>
        <w:t>date</w:t>
      </w: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EA8">
        <w:rPr>
          <w:rFonts w:ascii="Times New Roman" w:hAnsi="Times New Roman" w:cs="Times New Roman"/>
          <w:sz w:val="28"/>
          <w:szCs w:val="28"/>
        </w:rPr>
        <w:t>of</w:t>
      </w: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EA8">
        <w:rPr>
          <w:rFonts w:ascii="Times New Roman" w:hAnsi="Times New Roman" w:cs="Times New Roman"/>
          <w:sz w:val="28"/>
          <w:szCs w:val="28"/>
        </w:rPr>
        <w:t>access</w:t>
      </w: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: 10.12.2022).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</w:rPr>
      </w:pP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суду з прав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Матановіч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Хорватії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2019 року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№ 2742/12). </w:t>
      </w:r>
      <w:r w:rsidRPr="00B50EA8">
        <w:rPr>
          <w:rFonts w:ascii="Times New Roman" w:hAnsi="Times New Roman" w:cs="Times New Roman"/>
          <w:sz w:val="28"/>
          <w:szCs w:val="28"/>
        </w:rPr>
        <w:t xml:space="preserve">URL: https://www.echr.com.ua/translation/spravamatanovich-poti-xorvati%D1%97-tekst-rishennya/ (date of access: 10.12.2022).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</w:rPr>
      </w:pPr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суду з прав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Єврофінаком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Франції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2004 року (</w:t>
      </w:r>
      <w:proofErr w:type="spellStart"/>
      <w:r w:rsidRPr="00B50EA8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B50EA8">
        <w:rPr>
          <w:rFonts w:ascii="Times New Roman" w:hAnsi="Times New Roman" w:cs="Times New Roman"/>
          <w:sz w:val="28"/>
          <w:szCs w:val="28"/>
          <w:lang w:val="ru-RU"/>
        </w:rPr>
        <w:t xml:space="preserve"> № 58753/00). </w:t>
      </w:r>
      <w:r w:rsidRPr="00B50EA8">
        <w:rPr>
          <w:rFonts w:ascii="Times New Roman" w:hAnsi="Times New Roman" w:cs="Times New Roman"/>
          <w:sz w:val="28"/>
          <w:szCs w:val="28"/>
        </w:rPr>
        <w:t>URL: https://www.echr.coe.int/ Documents/Guide_Art_6_criminal_UKR.pdf (date of access: 10.12.2022).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</w:rPr>
      </w:pPr>
      <w:r w:rsidRPr="00B50EA8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Vanyan</w:t>
      </w:r>
      <w:proofErr w:type="spellEnd"/>
      <w:r w:rsidRPr="00B50EA8">
        <w:rPr>
          <w:rFonts w:ascii="Times New Roman" w:hAnsi="Times New Roman" w:cs="Times New Roman"/>
          <w:sz w:val="28"/>
          <w:szCs w:val="28"/>
        </w:rPr>
        <w:t xml:space="preserve"> v. Russia. ECHR, No. 53203/9915, December 2005. URL: http://hudoc.echr.coe.int/eng?i=001-71673 (date of access: 10.12.2022). 118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</w:rPr>
      </w:pPr>
      <w:r w:rsidRPr="00B50EA8">
        <w:rPr>
          <w:rFonts w:ascii="Times New Roman" w:hAnsi="Times New Roman" w:cs="Times New Roman"/>
          <w:sz w:val="28"/>
          <w:szCs w:val="28"/>
        </w:rPr>
        <w:t xml:space="preserve">7. Case of 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Nosko</w:t>
      </w:r>
      <w:proofErr w:type="spellEnd"/>
      <w:r w:rsidRPr="00B50EA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Nefedov</w:t>
      </w:r>
      <w:proofErr w:type="spellEnd"/>
      <w:r w:rsidRPr="00B50EA8">
        <w:rPr>
          <w:rFonts w:ascii="Times New Roman" w:hAnsi="Times New Roman" w:cs="Times New Roman"/>
          <w:sz w:val="28"/>
          <w:szCs w:val="28"/>
        </w:rPr>
        <w:t xml:space="preserve"> v. Russia: Judgment of the European Court of Human Rights, 30 October 2014 (Applications nos. 5753/09 and 11789/10). URL: http://hudoc.echr.coe.int/eng?i=001-147441 (date of access: 10.12.2022).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</w:rPr>
      </w:pPr>
      <w:r w:rsidRPr="00B50EA8">
        <w:rPr>
          <w:rFonts w:ascii="Times New Roman" w:hAnsi="Times New Roman" w:cs="Times New Roman"/>
          <w:sz w:val="28"/>
          <w:szCs w:val="28"/>
        </w:rPr>
        <w:t xml:space="preserve">8. Case of 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Milinienė</w:t>
      </w:r>
      <w:proofErr w:type="spellEnd"/>
      <w:r w:rsidRPr="00B50EA8">
        <w:rPr>
          <w:rFonts w:ascii="Times New Roman" w:hAnsi="Times New Roman" w:cs="Times New Roman"/>
          <w:sz w:val="28"/>
          <w:szCs w:val="28"/>
        </w:rPr>
        <w:t xml:space="preserve"> v. Lithuania: Judgment of the European Court of Human Rights, 24 June 2008 (Application no. 74355/01). URL: http://hudoc.echr.coe.int/eng?i=001-87142 (date of access: 10.12.2022). </w:t>
      </w:r>
    </w:p>
    <w:p w:rsid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</w:rPr>
      </w:pPr>
      <w:r w:rsidRPr="00B50EA8">
        <w:rPr>
          <w:rFonts w:ascii="Times New Roman" w:hAnsi="Times New Roman" w:cs="Times New Roman"/>
          <w:sz w:val="28"/>
          <w:szCs w:val="28"/>
        </w:rPr>
        <w:t xml:space="preserve">9. Case of Teixeira de Castro v. Portugal: Judgment of the European Court of Human Rights, 09 June 1998 (Application no. 25829/94). URL: http://hudoc.echr.coe.int/eng?i=001-58193 (date of access: 10.12.2022). </w:t>
      </w:r>
    </w:p>
    <w:p w:rsidR="009C1EAC" w:rsidRPr="00B50EA8" w:rsidRDefault="00B50EA8" w:rsidP="00B50E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0EA8">
        <w:rPr>
          <w:rFonts w:ascii="Times New Roman" w:hAnsi="Times New Roman" w:cs="Times New Roman"/>
          <w:sz w:val="28"/>
          <w:szCs w:val="28"/>
        </w:rPr>
        <w:t xml:space="preserve">10. Case of </w:t>
      </w:r>
      <w:proofErr w:type="spellStart"/>
      <w:r w:rsidRPr="00B50EA8">
        <w:rPr>
          <w:rFonts w:ascii="Times New Roman" w:hAnsi="Times New Roman" w:cs="Times New Roman"/>
          <w:sz w:val="28"/>
          <w:szCs w:val="28"/>
        </w:rPr>
        <w:t>Khudobin</w:t>
      </w:r>
      <w:proofErr w:type="spellEnd"/>
      <w:r w:rsidRPr="00B50EA8">
        <w:rPr>
          <w:rFonts w:ascii="Times New Roman" w:hAnsi="Times New Roman" w:cs="Times New Roman"/>
          <w:sz w:val="28"/>
          <w:szCs w:val="28"/>
        </w:rPr>
        <w:t xml:space="preserve"> v. Russia: Judgment of the European Court of Human Rights, 26 October 2006 (Application no. 59696/00). URL: http://hudoc.echr.coe.int/eng?i=001-77692 (date of access: 10.12.2022).</w:t>
      </w:r>
    </w:p>
    <w:sectPr w:rsidR="009C1EAC" w:rsidRPr="00B50E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A8"/>
    <w:rsid w:val="009C1EAC"/>
    <w:rsid w:val="00B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21EA"/>
  <w15:chartTrackingRefBased/>
  <w15:docId w15:val="{4A691E1D-A180-410B-AD21-30C179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</cp:revision>
  <dcterms:created xsi:type="dcterms:W3CDTF">2023-12-13T20:33:00Z</dcterms:created>
  <dcterms:modified xsi:type="dcterms:W3CDTF">2023-12-13T20:36:00Z</dcterms:modified>
</cp:coreProperties>
</file>