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98" w:rsidRPr="00C91E09" w:rsidRDefault="00F27C98" w:rsidP="00C91E09">
      <w:pPr>
        <w:shd w:val="clear" w:color="auto" w:fill="FFFFFF"/>
        <w:autoSpaceDE w:val="0"/>
        <w:autoSpaceDN w:val="0"/>
        <w:adjustRightInd w:val="0"/>
        <w:jc w:val="right"/>
        <w:rPr>
          <w:rStyle w:val="ae"/>
          <w:rFonts w:ascii="Arial" w:hAnsi="Arial" w:cs="Arial"/>
          <w:b w:val="0"/>
          <w:color w:val="000000"/>
          <w:sz w:val="20"/>
          <w:szCs w:val="20"/>
          <w:shd w:val="clear" w:color="auto" w:fill="FFFFFF"/>
        </w:rPr>
      </w:pPr>
      <w:r w:rsidRPr="00C91E09">
        <w:rPr>
          <w:rStyle w:val="ae"/>
          <w:rFonts w:ascii="Arial" w:hAnsi="Arial" w:cs="Arial"/>
          <w:b w:val="0"/>
          <w:color w:val="000000"/>
          <w:sz w:val="20"/>
          <w:szCs w:val="20"/>
          <w:shd w:val="clear" w:color="auto" w:fill="FFFFFF"/>
        </w:rPr>
        <w:t xml:space="preserve">Актуальні проблеми юридичної </w:t>
      </w:r>
    </w:p>
    <w:p w:rsidR="00244A8B" w:rsidRPr="00C91E09" w:rsidRDefault="00F27C98" w:rsidP="00C91E09">
      <w:pPr>
        <w:shd w:val="clear" w:color="auto" w:fill="FFFFFF"/>
        <w:autoSpaceDE w:val="0"/>
        <w:autoSpaceDN w:val="0"/>
        <w:adjustRightInd w:val="0"/>
        <w:jc w:val="right"/>
        <w:rPr>
          <w:rFonts w:ascii="Arial" w:hAnsi="Arial" w:cs="Arial"/>
          <w:b/>
          <w:bCs/>
          <w:color w:val="000000"/>
          <w:sz w:val="20"/>
          <w:szCs w:val="20"/>
          <w:shd w:val="clear" w:color="auto" w:fill="FFFFFF"/>
        </w:rPr>
      </w:pPr>
      <w:r w:rsidRPr="00C91E09">
        <w:rPr>
          <w:rStyle w:val="ae"/>
          <w:rFonts w:ascii="Arial" w:hAnsi="Arial" w:cs="Arial"/>
          <w:b w:val="0"/>
          <w:color w:val="000000"/>
          <w:sz w:val="20"/>
          <w:szCs w:val="20"/>
          <w:shd w:val="clear" w:color="auto" w:fill="FFFFFF"/>
        </w:rPr>
        <w:t>науки та практики</w:t>
      </w:r>
    </w:p>
    <w:p w:rsidR="00244A8B" w:rsidRPr="00C91E09" w:rsidRDefault="00244A8B" w:rsidP="00C91E09">
      <w:pPr>
        <w:tabs>
          <w:tab w:val="left" w:pos="2010"/>
          <w:tab w:val="left" w:pos="3765"/>
          <w:tab w:val="right" w:pos="9355"/>
        </w:tabs>
        <w:jc w:val="right"/>
        <w:rPr>
          <w:rFonts w:ascii="Arial" w:hAnsi="Arial" w:cs="Arial"/>
          <w:b/>
          <w:sz w:val="20"/>
          <w:szCs w:val="20"/>
        </w:rPr>
      </w:pPr>
      <w:r w:rsidRPr="00C91E09">
        <w:rPr>
          <w:rFonts w:ascii="Arial" w:hAnsi="Arial" w:cs="Arial"/>
          <w:b/>
          <w:sz w:val="20"/>
          <w:szCs w:val="20"/>
        </w:rPr>
        <w:t>Марущак Н. В.</w:t>
      </w:r>
      <w:r w:rsidR="00DA25B3" w:rsidRPr="00C91E09">
        <w:rPr>
          <w:rFonts w:ascii="Arial" w:hAnsi="Arial" w:cs="Arial"/>
          <w:b/>
          <w:sz w:val="20"/>
          <w:szCs w:val="20"/>
        </w:rPr>
        <w:t>,</w:t>
      </w:r>
    </w:p>
    <w:p w:rsidR="00DA25B3" w:rsidRPr="00C91E09" w:rsidRDefault="00DA25B3" w:rsidP="00C91E09">
      <w:pPr>
        <w:tabs>
          <w:tab w:val="left" w:pos="2010"/>
          <w:tab w:val="left" w:pos="3765"/>
          <w:tab w:val="right" w:pos="9355"/>
        </w:tabs>
        <w:jc w:val="right"/>
        <w:rPr>
          <w:rFonts w:ascii="Arial" w:hAnsi="Arial" w:cs="Arial"/>
          <w:b/>
          <w:sz w:val="20"/>
          <w:szCs w:val="20"/>
        </w:rPr>
      </w:pPr>
      <w:proofErr w:type="spellStart"/>
      <w:r w:rsidRPr="00C91E09">
        <w:rPr>
          <w:rFonts w:ascii="Arial" w:hAnsi="Arial" w:cs="Arial"/>
          <w:b/>
          <w:sz w:val="20"/>
          <w:szCs w:val="20"/>
        </w:rPr>
        <w:t>к.ю.н</w:t>
      </w:r>
      <w:proofErr w:type="spellEnd"/>
      <w:r w:rsidRPr="00C91E09">
        <w:rPr>
          <w:rFonts w:ascii="Arial" w:hAnsi="Arial" w:cs="Arial"/>
          <w:b/>
          <w:sz w:val="20"/>
          <w:szCs w:val="20"/>
        </w:rPr>
        <w:t xml:space="preserve">., доцент </w:t>
      </w:r>
    </w:p>
    <w:p w:rsidR="00DA25B3" w:rsidRPr="00C91E09" w:rsidRDefault="00DA25B3" w:rsidP="00C91E09">
      <w:pPr>
        <w:tabs>
          <w:tab w:val="left" w:pos="1080"/>
        </w:tabs>
        <w:jc w:val="right"/>
        <w:rPr>
          <w:rFonts w:ascii="Arial" w:hAnsi="Arial" w:cs="Arial"/>
          <w:i/>
          <w:iCs/>
          <w:sz w:val="20"/>
          <w:szCs w:val="20"/>
        </w:rPr>
      </w:pPr>
      <w:r w:rsidRPr="00C91E09">
        <w:rPr>
          <w:rFonts w:ascii="Arial" w:hAnsi="Arial" w:cs="Arial"/>
          <w:i/>
          <w:iCs/>
          <w:sz w:val="20"/>
          <w:szCs w:val="20"/>
        </w:rPr>
        <w:t>Чернігівський національний технологічний університет,</w:t>
      </w:r>
    </w:p>
    <w:p w:rsidR="00DA25B3" w:rsidRPr="00C91E09" w:rsidRDefault="00DA25B3" w:rsidP="00C91E09">
      <w:pPr>
        <w:tabs>
          <w:tab w:val="left" w:pos="2010"/>
        </w:tabs>
        <w:jc w:val="right"/>
        <w:rPr>
          <w:rFonts w:ascii="Arial" w:hAnsi="Arial" w:cs="Arial"/>
          <w:sz w:val="20"/>
          <w:szCs w:val="20"/>
        </w:rPr>
      </w:pPr>
      <w:r w:rsidRPr="00C91E09">
        <w:rPr>
          <w:rFonts w:ascii="Arial" w:hAnsi="Arial" w:cs="Arial"/>
          <w:i/>
          <w:iCs/>
          <w:sz w:val="20"/>
          <w:szCs w:val="20"/>
        </w:rPr>
        <w:t>Чернігів, Шевченко 95, 14000</w:t>
      </w:r>
    </w:p>
    <w:p w:rsidR="00DA25B3" w:rsidRPr="00C91E09" w:rsidRDefault="00DA25B3" w:rsidP="00C91E09">
      <w:pPr>
        <w:tabs>
          <w:tab w:val="left" w:pos="2010"/>
          <w:tab w:val="left" w:pos="3765"/>
          <w:tab w:val="right" w:pos="9355"/>
        </w:tabs>
        <w:ind w:firstLine="567"/>
        <w:jc w:val="right"/>
        <w:rPr>
          <w:b/>
          <w:sz w:val="20"/>
          <w:szCs w:val="20"/>
        </w:rPr>
      </w:pPr>
    </w:p>
    <w:p w:rsidR="00244A8B" w:rsidRPr="00C91E09" w:rsidRDefault="00244A8B" w:rsidP="00C91E09">
      <w:pPr>
        <w:shd w:val="clear" w:color="auto" w:fill="FFFFFF"/>
        <w:autoSpaceDE w:val="0"/>
        <w:autoSpaceDN w:val="0"/>
        <w:adjustRightInd w:val="0"/>
        <w:ind w:firstLine="567"/>
        <w:jc w:val="center"/>
        <w:rPr>
          <w:rFonts w:ascii="Arial" w:hAnsi="Arial" w:cs="Arial"/>
          <w:b/>
          <w:i/>
          <w:sz w:val="20"/>
          <w:szCs w:val="20"/>
        </w:rPr>
      </w:pPr>
      <w:r w:rsidRPr="00C91E09">
        <w:rPr>
          <w:rFonts w:ascii="Arial" w:hAnsi="Arial" w:cs="Arial"/>
          <w:b/>
          <w:i/>
          <w:sz w:val="20"/>
          <w:szCs w:val="20"/>
        </w:rPr>
        <w:t>ЩОДО ПИТАННЯ УНІВЕРСАЛЬНОСТІ ПРАВ ЛЮДИНИ</w:t>
      </w:r>
    </w:p>
    <w:p w:rsidR="00244A8B" w:rsidRPr="00C91E09" w:rsidRDefault="00244A8B" w:rsidP="00C91E09">
      <w:pPr>
        <w:shd w:val="clear" w:color="auto" w:fill="FFFFFF"/>
        <w:autoSpaceDE w:val="0"/>
        <w:autoSpaceDN w:val="0"/>
        <w:adjustRightInd w:val="0"/>
        <w:ind w:firstLine="567"/>
        <w:jc w:val="both"/>
        <w:rPr>
          <w:i/>
          <w:sz w:val="20"/>
          <w:szCs w:val="20"/>
          <w:lang w:val="en-US"/>
        </w:rPr>
      </w:pPr>
    </w:p>
    <w:p w:rsidR="00244A8B" w:rsidRPr="00C91E09" w:rsidRDefault="00244A8B" w:rsidP="00C91E09">
      <w:pPr>
        <w:shd w:val="clear" w:color="auto" w:fill="FFFFFF"/>
        <w:ind w:firstLine="567"/>
        <w:jc w:val="both"/>
        <w:rPr>
          <w:spacing w:val="-2"/>
          <w:sz w:val="20"/>
          <w:szCs w:val="20"/>
        </w:rPr>
      </w:pPr>
      <w:r w:rsidRPr="00C91E09">
        <w:rPr>
          <w:sz w:val="20"/>
          <w:szCs w:val="20"/>
        </w:rPr>
        <w:t xml:space="preserve">Поряд з поняттям фундаментальних, загальних прав людини поступово сформувалося поняття основних, універсальних прав і свобод людини, які закріплюються в міжнародно-правових документах з урахуванням практики внутрішнього законодавства різних держав, у тому числі і колишніх соціалістичних країн. Основні, фундаментальні права набувають характер міжнародно-правових мінімальних стандартів у галузі прав людини і громадянина, стають тією планкою, нижче якої будь-яка держава, що претендує називатися демократичною, правовою і соціальною, не може опускатися. Тобто, права і свободи людини перестали бути об’єктом тільки внутрішньої політики та практики держави, а стали справою всього міжнародного співтовариства. Цей новий етап в історії прав людини розпочався після Другої світової війни, </w:t>
      </w:r>
      <w:r w:rsidRPr="00C91E09">
        <w:rPr>
          <w:spacing w:val="-2"/>
          <w:sz w:val="20"/>
          <w:szCs w:val="20"/>
        </w:rPr>
        <w:t xml:space="preserve">коли в суспільній свідомості утвердилася концепція прав людини, визнання пріоритету загальнолюдських цінностей і правової держави. Легітимація прав людини була здійснена шляхом прийняття Загальної декларації прав людини 10 грудня 1948 р., Міжнародних пактів про громадянські і політичні права, а також про економічні, соціальні та культурні права, що були прийняті Генеральною Асамблеєю ООН 19 грудня 1966 р., роль яких у світовій історії і правовій науці важко переоцінити. У положеннях документів знайшла відображення природна концепція прав людини, що не могло не позначитись на внутрішньому законодавстві країн-учасниць. </w:t>
      </w:r>
    </w:p>
    <w:p w:rsidR="00244A8B" w:rsidRPr="00C91E09" w:rsidRDefault="00244A8B" w:rsidP="00C91E09">
      <w:pPr>
        <w:shd w:val="clear" w:color="auto" w:fill="FFFFFF"/>
        <w:tabs>
          <w:tab w:val="left" w:pos="1080"/>
        </w:tabs>
        <w:autoSpaceDE w:val="0"/>
        <w:autoSpaceDN w:val="0"/>
        <w:adjustRightInd w:val="0"/>
        <w:ind w:firstLine="567"/>
        <w:jc w:val="both"/>
        <w:rPr>
          <w:sz w:val="20"/>
          <w:szCs w:val="20"/>
        </w:rPr>
      </w:pPr>
      <w:r w:rsidRPr="00C91E09">
        <w:rPr>
          <w:sz w:val="20"/>
          <w:szCs w:val="20"/>
        </w:rPr>
        <w:t xml:space="preserve">Міжнародні документи другої половини XX ст., ратифіковані великою кількістю держав, затвердили «права людини» як ідеал, якого інтернаціональне співтовариство має досягти. Наприклад, у ст. 1 Загальної декларації прав людини проголошується: «Усі люди народжуються вільними і рівними у своїй гідності і правах. Вони наділені розумом </w:t>
      </w:r>
      <w:r w:rsidRPr="00C91E09">
        <w:rPr>
          <w:bCs/>
          <w:sz w:val="20"/>
          <w:szCs w:val="20"/>
        </w:rPr>
        <w:t xml:space="preserve">і </w:t>
      </w:r>
      <w:r w:rsidRPr="00C91E09">
        <w:rPr>
          <w:sz w:val="20"/>
          <w:szCs w:val="20"/>
        </w:rPr>
        <w:t xml:space="preserve">совістю </w:t>
      </w:r>
      <w:r w:rsidRPr="00C91E09">
        <w:rPr>
          <w:bCs/>
          <w:sz w:val="20"/>
          <w:szCs w:val="20"/>
        </w:rPr>
        <w:t>і</w:t>
      </w:r>
      <w:r w:rsidRPr="00C91E09">
        <w:rPr>
          <w:b/>
          <w:bCs/>
          <w:sz w:val="20"/>
          <w:szCs w:val="20"/>
        </w:rPr>
        <w:t xml:space="preserve"> </w:t>
      </w:r>
      <w:r w:rsidRPr="00C91E09">
        <w:rPr>
          <w:sz w:val="20"/>
          <w:szCs w:val="20"/>
        </w:rPr>
        <w:t xml:space="preserve">повинні діяти у відношенні один до одного в дусі братерства» [1, с.19]. </w:t>
      </w:r>
    </w:p>
    <w:p w:rsidR="00244A8B" w:rsidRPr="00C91E09" w:rsidRDefault="00244A8B" w:rsidP="00C91E09">
      <w:pPr>
        <w:pStyle w:val="HTML"/>
        <w:ind w:firstLine="567"/>
        <w:jc w:val="both"/>
        <w:rPr>
          <w:rFonts w:ascii="Times New Roman" w:hAnsi="Times New Roman" w:cs="Times New Roman"/>
          <w:sz w:val="20"/>
          <w:szCs w:val="20"/>
          <w:lang w:val="uk-UA"/>
        </w:rPr>
      </w:pPr>
      <w:r w:rsidRPr="00C91E09">
        <w:rPr>
          <w:rFonts w:ascii="Times New Roman" w:hAnsi="Times New Roman" w:cs="Times New Roman"/>
          <w:sz w:val="20"/>
          <w:szCs w:val="20"/>
          <w:lang w:val="uk-UA"/>
        </w:rPr>
        <w:t xml:space="preserve">Ідея «поваги до властивої людській особі гідності, властивої всім членам людської сім’ї, та рівних і невід’ємних прав» міститься і в ряді інших документів універсального характеру. Вона згадується, наприклад, у ст. 2 Міжнародного пакту про громадянські і політичні права: «Кожна держава, яка бере участь у цьому Пакті, зобов’язується поважати і забезпечувати всім особам, що перебувають у межах її території та під її юрисдикцією права, визнані в  цьому Пакті, без будь-якої різниці щодо раси, кольору шкіри, статі, мови, релігії, політичних чи інших переконань, національного чи соціального походження, майнового стану, народження чи іншої обставини.» [1, с.41]. Правовою </w:t>
      </w:r>
      <w:r w:rsidRPr="00C91E09">
        <w:rPr>
          <w:rFonts w:ascii="Times New Roman" w:hAnsi="Times New Roman" w:cs="Times New Roman"/>
          <w:bCs/>
          <w:sz w:val="20"/>
          <w:szCs w:val="20"/>
          <w:lang w:val="uk-UA"/>
        </w:rPr>
        <w:t xml:space="preserve">кульмінацією </w:t>
      </w:r>
      <w:r w:rsidRPr="00C91E09">
        <w:rPr>
          <w:rFonts w:ascii="Times New Roman" w:hAnsi="Times New Roman" w:cs="Times New Roman"/>
          <w:sz w:val="20"/>
          <w:szCs w:val="20"/>
          <w:lang w:val="uk-UA"/>
        </w:rPr>
        <w:t>ідеї людських прав є принцип 7 Заключного акта Наради з безпеки й співробітництва в Європі 1975 р., де стверджується, що держави будуть сприяти ефективному здійсненню людських прав і свобод [2, с.641].</w:t>
      </w:r>
    </w:p>
    <w:p w:rsidR="00244A8B" w:rsidRPr="00C91E09" w:rsidRDefault="00244A8B" w:rsidP="00C91E09">
      <w:pPr>
        <w:shd w:val="clear" w:color="auto" w:fill="FFFFFF"/>
        <w:ind w:firstLine="567"/>
        <w:jc w:val="both"/>
        <w:rPr>
          <w:sz w:val="20"/>
          <w:szCs w:val="20"/>
        </w:rPr>
      </w:pPr>
      <w:r w:rsidRPr="00C91E09">
        <w:rPr>
          <w:spacing w:val="-2"/>
          <w:sz w:val="20"/>
          <w:szCs w:val="20"/>
        </w:rPr>
        <w:t xml:space="preserve">На нашу думку, варто погодитися з М.В. </w:t>
      </w:r>
      <w:proofErr w:type="spellStart"/>
      <w:r w:rsidRPr="00C91E09">
        <w:rPr>
          <w:spacing w:val="-2"/>
          <w:sz w:val="20"/>
          <w:szCs w:val="20"/>
        </w:rPr>
        <w:t>Вітруком</w:t>
      </w:r>
      <w:proofErr w:type="spellEnd"/>
      <w:r w:rsidRPr="00C91E09">
        <w:rPr>
          <w:spacing w:val="-2"/>
          <w:sz w:val="20"/>
          <w:szCs w:val="20"/>
        </w:rPr>
        <w:t xml:space="preserve">, який зазначив, що під правами людини в міжнародно-правовій інтерпретації розуміються основні, фундаментальні права, які носять універсальний, загальний характер (поширюються на всіх, хто належить до біологічного виду </w:t>
      </w:r>
      <w:proofErr w:type="spellStart"/>
      <w:r w:rsidRPr="00C91E09">
        <w:rPr>
          <w:spacing w:val="-2"/>
          <w:sz w:val="20"/>
          <w:szCs w:val="20"/>
        </w:rPr>
        <w:t>homo</w:t>
      </w:r>
      <w:proofErr w:type="spellEnd"/>
      <w:r w:rsidRPr="00C91E09">
        <w:rPr>
          <w:spacing w:val="-2"/>
          <w:sz w:val="20"/>
          <w:szCs w:val="20"/>
        </w:rPr>
        <w:t xml:space="preserve"> </w:t>
      </w:r>
      <w:proofErr w:type="spellStart"/>
      <w:r w:rsidRPr="00C91E09">
        <w:rPr>
          <w:spacing w:val="-2"/>
          <w:sz w:val="20"/>
          <w:szCs w:val="20"/>
        </w:rPr>
        <w:t>sapiens</w:t>
      </w:r>
      <w:proofErr w:type="spellEnd"/>
      <w:r w:rsidRPr="00C91E09">
        <w:rPr>
          <w:spacing w:val="-2"/>
          <w:sz w:val="20"/>
          <w:szCs w:val="20"/>
        </w:rPr>
        <w:t>) і які є егалітарними (всі рівноправні), системно забезпечують гідне життя і розвиток особистості в умовах досягнень сучасного суспільно – історичного прогресу</w:t>
      </w:r>
      <w:r w:rsidRPr="00C91E09">
        <w:rPr>
          <w:spacing w:val="-4"/>
          <w:sz w:val="20"/>
          <w:szCs w:val="20"/>
        </w:rPr>
        <w:t xml:space="preserve"> [3, с.30-31]</w:t>
      </w:r>
      <w:r w:rsidRPr="00C91E09">
        <w:rPr>
          <w:spacing w:val="-2"/>
          <w:sz w:val="20"/>
          <w:szCs w:val="20"/>
        </w:rPr>
        <w:t>.</w:t>
      </w:r>
      <w:r w:rsidRPr="00C91E09">
        <w:rPr>
          <w:rStyle w:val="a5"/>
          <w:sz w:val="20"/>
          <w:szCs w:val="20"/>
          <w:highlight w:val="yellow"/>
        </w:rPr>
        <w:t xml:space="preserve"> </w:t>
      </w:r>
    </w:p>
    <w:p w:rsidR="00244A8B" w:rsidRPr="00C91E09" w:rsidRDefault="00244A8B" w:rsidP="00C91E09">
      <w:pPr>
        <w:shd w:val="clear" w:color="auto" w:fill="FFFFFF"/>
        <w:tabs>
          <w:tab w:val="left" w:pos="1080"/>
        </w:tabs>
        <w:autoSpaceDE w:val="0"/>
        <w:autoSpaceDN w:val="0"/>
        <w:adjustRightInd w:val="0"/>
        <w:ind w:firstLine="567"/>
        <w:jc w:val="both"/>
        <w:rPr>
          <w:spacing w:val="-2"/>
          <w:sz w:val="20"/>
          <w:szCs w:val="20"/>
        </w:rPr>
      </w:pPr>
      <w:r w:rsidRPr="00C91E09">
        <w:rPr>
          <w:spacing w:val="-2"/>
          <w:sz w:val="20"/>
          <w:szCs w:val="20"/>
        </w:rPr>
        <w:t>Суспільний прогрес, на нашу думку, безпосередньо пов’язаний з конкретизацією і розширенням каталогу основних прав і свобод людини, визнанням, забезпеченням на державному рівні, організацією міжнародного контролю за їх дотриманням та захистом. Національні системи здійснюючи пошук оптимальних моделей закріплення прав та свобод людини, стали звертатися до міжнародної практики, тобто, національні правові системи фіксують не тільки власні напрацювання у справі захисту прав людини, а й широко використовують нормативний і доктринальний позитивний досвід світової спільноти та зарубіжних країн.</w:t>
      </w:r>
    </w:p>
    <w:p w:rsidR="00244A8B" w:rsidRPr="00C91E09" w:rsidRDefault="00244A8B" w:rsidP="00C91E09">
      <w:pPr>
        <w:tabs>
          <w:tab w:val="left" w:pos="0"/>
        </w:tabs>
        <w:ind w:firstLine="567"/>
        <w:jc w:val="both"/>
        <w:rPr>
          <w:sz w:val="20"/>
          <w:szCs w:val="20"/>
        </w:rPr>
      </w:pPr>
      <w:r w:rsidRPr="00C91E09">
        <w:rPr>
          <w:spacing w:val="-2"/>
          <w:sz w:val="20"/>
          <w:szCs w:val="20"/>
        </w:rPr>
        <w:t xml:space="preserve">Практично третина від загального обсягу статей Конституцій, </w:t>
      </w:r>
      <w:r w:rsidRPr="00C91E09">
        <w:rPr>
          <w:sz w:val="20"/>
          <w:szCs w:val="20"/>
        </w:rPr>
        <w:t>прийнятих після 1948 р.</w:t>
      </w:r>
      <w:r w:rsidRPr="00C91E09">
        <w:rPr>
          <w:spacing w:val="-2"/>
          <w:sz w:val="20"/>
          <w:szCs w:val="20"/>
        </w:rPr>
        <w:t>, стосуються прав людини, причому каталог останніх виходить далеко за межі їх класичного переліку. Конституційні тексти</w:t>
      </w:r>
      <w:r w:rsidRPr="00C91E09">
        <w:rPr>
          <w:b/>
          <w:spacing w:val="-2"/>
          <w:sz w:val="20"/>
          <w:szCs w:val="20"/>
        </w:rPr>
        <w:t xml:space="preserve"> </w:t>
      </w:r>
      <w:r w:rsidRPr="00C91E09">
        <w:rPr>
          <w:spacing w:val="-2"/>
          <w:sz w:val="20"/>
          <w:szCs w:val="20"/>
        </w:rPr>
        <w:t xml:space="preserve">помітно однотипні, законодавці користуються уніфікованими формулюваннями та відтворюють положення Загальної декларації прав людини та інших документів Білля про права. Як зазначає Л.І. </w:t>
      </w:r>
      <w:proofErr w:type="spellStart"/>
      <w:r w:rsidRPr="00C91E09">
        <w:rPr>
          <w:spacing w:val="-2"/>
          <w:sz w:val="20"/>
          <w:szCs w:val="20"/>
        </w:rPr>
        <w:t>Глухарева</w:t>
      </w:r>
      <w:proofErr w:type="spellEnd"/>
      <w:r w:rsidRPr="00C91E09">
        <w:rPr>
          <w:spacing w:val="-2"/>
          <w:sz w:val="20"/>
          <w:szCs w:val="20"/>
        </w:rPr>
        <w:t xml:space="preserve">, збільшення загальних рис і принципових установок, посилення подібності норм про права, механізмів і процесів їх захисту, а також використання універсальних засобів міжнародно-правового рівня поступово зближує національні правові системи, формує єдиний правовий простір і інтернаціоналізує сферу прав людини </w:t>
      </w:r>
      <w:r w:rsidRPr="00C91E09">
        <w:rPr>
          <w:spacing w:val="-4"/>
          <w:sz w:val="20"/>
          <w:szCs w:val="20"/>
        </w:rPr>
        <w:t>[4, с.153]</w:t>
      </w:r>
      <w:r w:rsidRPr="00C91E09">
        <w:rPr>
          <w:spacing w:val="-2"/>
          <w:sz w:val="20"/>
          <w:szCs w:val="20"/>
        </w:rPr>
        <w:t>.</w:t>
      </w:r>
    </w:p>
    <w:p w:rsidR="00244A8B" w:rsidRPr="00C91E09" w:rsidRDefault="00244A8B" w:rsidP="00C91E09">
      <w:pPr>
        <w:shd w:val="clear" w:color="auto" w:fill="FFFFFF"/>
        <w:ind w:firstLine="567"/>
        <w:jc w:val="both"/>
        <w:rPr>
          <w:sz w:val="20"/>
          <w:szCs w:val="20"/>
        </w:rPr>
      </w:pPr>
      <w:r w:rsidRPr="00C91E09">
        <w:rPr>
          <w:sz w:val="20"/>
          <w:szCs w:val="20"/>
        </w:rPr>
        <w:t>Закріплення в міжнародних документах стандартів прав людини мало важливе значення, оскільки, по-перше, допомогло сформувати уявлення про те, які саме суб’єктивні права слід відносити до категорії прав людини, по-друге, сприяло формуванню універсальною і соціокультурних концепцій прав людини, по-третє, полегшило процес інтернаціоналізації прав, і по-четверте, істотно впливало на поліпшення ситуації з правами людини в усьому світі.</w:t>
      </w:r>
    </w:p>
    <w:p w:rsidR="00244A8B" w:rsidRPr="00C91E09" w:rsidRDefault="00244A8B" w:rsidP="00C91E09">
      <w:pPr>
        <w:shd w:val="clear" w:color="auto" w:fill="FFFFFF"/>
        <w:ind w:firstLine="567"/>
        <w:jc w:val="both"/>
        <w:rPr>
          <w:sz w:val="20"/>
          <w:szCs w:val="20"/>
        </w:rPr>
      </w:pPr>
      <w:r w:rsidRPr="00C91E09">
        <w:rPr>
          <w:sz w:val="20"/>
          <w:szCs w:val="20"/>
        </w:rPr>
        <w:t>Створення універсальної концепції прав людини, широке використання інституту прав в міжнародній практиці політичних, економічних, міжкультурних відносин, їх включення в стратегічні програми вирішення загальнолюдських проблем, проникнення ідей правого захисту прав людини у законодавчу та державно-правову сферу практично всіх країн світу і перетворення їх на новому ґрунті в фактор внутрішнього життя – свідоцтва набуття правами людини універсального характеру, їхньої ролі в пошуку компромісної моделі об’єднання людства.</w:t>
      </w:r>
    </w:p>
    <w:p w:rsidR="00244A8B" w:rsidRPr="00C91E09" w:rsidRDefault="00244A8B" w:rsidP="00C91E09">
      <w:pPr>
        <w:shd w:val="clear" w:color="auto" w:fill="FFFFFF"/>
        <w:tabs>
          <w:tab w:val="left" w:pos="1080"/>
        </w:tabs>
        <w:autoSpaceDE w:val="0"/>
        <w:autoSpaceDN w:val="0"/>
        <w:adjustRightInd w:val="0"/>
        <w:ind w:firstLine="567"/>
        <w:jc w:val="both"/>
        <w:rPr>
          <w:spacing w:val="-2"/>
          <w:sz w:val="20"/>
          <w:szCs w:val="20"/>
        </w:rPr>
      </w:pPr>
      <w:r w:rsidRPr="00C91E09">
        <w:rPr>
          <w:spacing w:val="-2"/>
          <w:sz w:val="20"/>
          <w:szCs w:val="20"/>
        </w:rPr>
        <w:t xml:space="preserve">Універсальність прав людини означає «зближення, поглиблення, взаємодія, взаємний вплив», вона здійснюється у двох основних формах - гармонізації та уніфікації національних систем. Гармонізація відбувається на базі загальних </w:t>
      </w:r>
      <w:r w:rsidRPr="00C91E09">
        <w:rPr>
          <w:spacing w:val="-2"/>
          <w:sz w:val="20"/>
          <w:szCs w:val="20"/>
        </w:rPr>
        <w:lastRenderedPageBreak/>
        <w:t>принципів, а уніфікація - шляхом введення в правові системи держав однакових норм</w:t>
      </w:r>
      <w:r w:rsidRPr="00C91E09">
        <w:rPr>
          <w:spacing w:val="-4"/>
          <w:sz w:val="20"/>
          <w:szCs w:val="20"/>
        </w:rPr>
        <w:t>[</w:t>
      </w:r>
      <w:r w:rsidRPr="00C91E09">
        <w:rPr>
          <w:spacing w:val="-4"/>
          <w:sz w:val="20"/>
          <w:szCs w:val="20"/>
          <w:lang w:val="ru-RU"/>
        </w:rPr>
        <w:t>5</w:t>
      </w:r>
      <w:r w:rsidRPr="00C91E09">
        <w:rPr>
          <w:spacing w:val="-4"/>
          <w:sz w:val="20"/>
          <w:szCs w:val="20"/>
        </w:rPr>
        <w:t>, с.3]</w:t>
      </w:r>
      <w:r w:rsidRPr="00C91E09">
        <w:rPr>
          <w:spacing w:val="-2"/>
          <w:sz w:val="20"/>
          <w:szCs w:val="20"/>
        </w:rPr>
        <w:t>. Універсалізації прав людини активно сприяють політична і економічна співпраця, засоби масової інформації, обмін творами науки, літератури і мистецтва, діяльність міжнародних організацій, укладання міжнародних договорів, пряма рецепція та конвергенція правотворчості в сфері прав людини.</w:t>
      </w:r>
    </w:p>
    <w:p w:rsidR="00244A8B" w:rsidRPr="00C91E09" w:rsidRDefault="00244A8B" w:rsidP="00C91E09">
      <w:pPr>
        <w:tabs>
          <w:tab w:val="left" w:pos="1080"/>
        </w:tabs>
        <w:ind w:firstLine="567"/>
        <w:jc w:val="both"/>
        <w:rPr>
          <w:sz w:val="20"/>
          <w:szCs w:val="20"/>
        </w:rPr>
      </w:pPr>
      <w:r w:rsidRPr="00C91E09">
        <w:rPr>
          <w:sz w:val="20"/>
          <w:szCs w:val="20"/>
        </w:rPr>
        <w:t xml:space="preserve">Сьогодні Україна переживає новий період переосмислення природного права, пов’язаний з наданням згоди </w:t>
      </w:r>
      <w:r w:rsidRPr="00C91E09">
        <w:rPr>
          <w:bCs/>
          <w:sz w:val="20"/>
          <w:szCs w:val="20"/>
        </w:rPr>
        <w:t>на обов’язковість виконання цілої низки міжнародних договорів, які відповідно до ст. 9 Конституції стали частиною національного законодавства України і які містять вимогу поваги до прав особи</w:t>
      </w:r>
      <w:r w:rsidRPr="00C91E09">
        <w:rPr>
          <w:sz w:val="20"/>
          <w:szCs w:val="20"/>
        </w:rPr>
        <w:t xml:space="preserve"> та зі вступом України у 1995 р. до Ради Європи та ратифікацією Верховною Радою України 1997 року Європейської конвенції про захист прав людини й основоположних свобод та протоколів до неї. А отже, як слушно зазначив С. Шевчук, «основним чинником розвитку системи захисту фундаментальних прав та свобод в Україні повинні бути єдині для всієї Європи правові цінності та розуміння юридичної природи фундаментальних прав та основних свобод. Україна не може бути винятком з цього процесу, зокрема в усіх питаннях однакового розуміння та застосування положень Конвенції, а також застосування прецедентного права Європейського суду з прав людини як при визначенні змісту та обсягу відповідних конституційних положень при їх реалізації, так і в </w:t>
      </w:r>
      <w:proofErr w:type="spellStart"/>
      <w:r w:rsidRPr="00C91E09">
        <w:rPr>
          <w:sz w:val="20"/>
          <w:szCs w:val="20"/>
        </w:rPr>
        <w:t>правотворенні</w:t>
      </w:r>
      <w:proofErr w:type="spellEnd"/>
      <w:r w:rsidRPr="00C91E09">
        <w:rPr>
          <w:sz w:val="20"/>
          <w:szCs w:val="20"/>
        </w:rPr>
        <w:t>»[5, с.23-24]. А це, насамперед, передбачає приведення внутрішнього законодавства у відповідність з міжнародними вимогами, створення чи реорганізацію діяльності державних структур, вдосконалення адміністративних і судових процедур забезпечення та захисту прав людини, формування і реалізацію державних програм та проектів підтримки прав людини.</w:t>
      </w:r>
    </w:p>
    <w:p w:rsidR="00244A8B" w:rsidRPr="00C91E09" w:rsidRDefault="00244A8B" w:rsidP="00C91E09">
      <w:pPr>
        <w:tabs>
          <w:tab w:val="left" w:pos="1080"/>
        </w:tabs>
        <w:ind w:firstLine="567"/>
        <w:jc w:val="both"/>
        <w:rPr>
          <w:sz w:val="20"/>
          <w:szCs w:val="20"/>
        </w:rPr>
      </w:pPr>
    </w:p>
    <w:p w:rsidR="00244A8B" w:rsidRPr="00C91E09" w:rsidRDefault="00C91E09" w:rsidP="00C91E09">
      <w:pPr>
        <w:tabs>
          <w:tab w:val="left" w:pos="2160"/>
        </w:tabs>
        <w:ind w:firstLine="567"/>
        <w:jc w:val="center"/>
        <w:rPr>
          <w:sz w:val="20"/>
          <w:szCs w:val="20"/>
        </w:rPr>
      </w:pPr>
      <w:r>
        <w:rPr>
          <w:sz w:val="20"/>
          <w:szCs w:val="20"/>
        </w:rPr>
        <w:t>Список використаних джерел</w:t>
      </w:r>
      <w:r w:rsidR="00244A8B" w:rsidRPr="00C91E09">
        <w:rPr>
          <w:sz w:val="20"/>
          <w:szCs w:val="20"/>
        </w:rPr>
        <w:t>:</w:t>
      </w:r>
    </w:p>
    <w:p w:rsidR="00244A8B" w:rsidRPr="00C91E09" w:rsidRDefault="00244A8B" w:rsidP="00C91E09">
      <w:pPr>
        <w:pStyle w:val="a3"/>
        <w:numPr>
          <w:ilvl w:val="0"/>
          <w:numId w:val="4"/>
        </w:numPr>
        <w:ind w:firstLine="567"/>
        <w:jc w:val="both"/>
      </w:pPr>
      <w:r w:rsidRPr="00C91E09">
        <w:t>Права людини. Міжнародні договори України, декларації, документи / [</w:t>
      </w:r>
      <w:proofErr w:type="spellStart"/>
      <w:r w:rsidRPr="00C91E09">
        <w:t>упоряд</w:t>
      </w:r>
      <w:proofErr w:type="spellEnd"/>
      <w:r w:rsidRPr="00C91E09">
        <w:t xml:space="preserve">. Ю. К. </w:t>
      </w:r>
      <w:proofErr w:type="spellStart"/>
      <w:r w:rsidRPr="00C91E09">
        <w:t>Качуренко</w:t>
      </w:r>
      <w:proofErr w:type="spellEnd"/>
      <w:r w:rsidRPr="00C91E09">
        <w:t>]. – К. : Наук. думка, 1992. – 200 с.</w:t>
      </w:r>
    </w:p>
    <w:p w:rsidR="00244A8B" w:rsidRPr="00C91E09" w:rsidRDefault="00244A8B" w:rsidP="00C91E09">
      <w:pPr>
        <w:pStyle w:val="a6"/>
        <w:numPr>
          <w:ilvl w:val="0"/>
          <w:numId w:val="4"/>
        </w:numPr>
        <w:tabs>
          <w:tab w:val="left" w:pos="1080"/>
        </w:tabs>
        <w:ind w:firstLine="567"/>
        <w:jc w:val="both"/>
        <w:rPr>
          <w:bCs/>
          <w:lang w:val="ru-RU"/>
        </w:rPr>
      </w:pPr>
      <w:r w:rsidRPr="00C91E09">
        <w:rPr>
          <w:bCs/>
        </w:rPr>
        <w:t>М</w:t>
      </w:r>
      <w:proofErr w:type="spellStart"/>
      <w:r w:rsidRPr="00C91E09">
        <w:rPr>
          <w:bCs/>
          <w:lang w:val="ru-RU"/>
        </w:rPr>
        <w:t>еждународные</w:t>
      </w:r>
      <w:proofErr w:type="spellEnd"/>
      <w:r w:rsidRPr="00C91E09">
        <w:rPr>
          <w:bCs/>
          <w:lang w:val="ru-RU"/>
        </w:rPr>
        <w:t xml:space="preserve"> акты о правах человека : сборник документов. – М.</w:t>
      </w:r>
      <w:proofErr w:type="gramStart"/>
      <w:r w:rsidRPr="00C91E09">
        <w:rPr>
          <w:bCs/>
          <w:lang w:val="ru-RU"/>
        </w:rPr>
        <w:t xml:space="preserve"> :</w:t>
      </w:r>
      <w:proofErr w:type="gramEnd"/>
      <w:r w:rsidRPr="00C91E09">
        <w:rPr>
          <w:bCs/>
          <w:lang w:val="ru-RU"/>
        </w:rPr>
        <w:t xml:space="preserve"> НОРМА•ИНФРА, 2000. – 784 с.</w:t>
      </w:r>
    </w:p>
    <w:p w:rsidR="00244A8B" w:rsidRPr="00C91E09" w:rsidRDefault="00244A8B" w:rsidP="00C91E09">
      <w:pPr>
        <w:pStyle w:val="a3"/>
        <w:numPr>
          <w:ilvl w:val="0"/>
          <w:numId w:val="4"/>
        </w:numPr>
        <w:ind w:firstLine="567"/>
        <w:jc w:val="both"/>
      </w:pPr>
      <w:proofErr w:type="spellStart"/>
      <w:r w:rsidRPr="00C91E09">
        <w:t>Витрук</w:t>
      </w:r>
      <w:proofErr w:type="spellEnd"/>
      <w:r w:rsidRPr="00C91E09">
        <w:t xml:space="preserve"> Н.В. </w:t>
      </w:r>
      <w:proofErr w:type="spellStart"/>
      <w:r w:rsidRPr="00C91E09">
        <w:t>Общая</w:t>
      </w:r>
      <w:proofErr w:type="spellEnd"/>
      <w:r w:rsidRPr="00C91E09">
        <w:t xml:space="preserve"> </w:t>
      </w:r>
      <w:proofErr w:type="spellStart"/>
      <w:r w:rsidRPr="00C91E09">
        <w:t>теория</w:t>
      </w:r>
      <w:proofErr w:type="spellEnd"/>
      <w:r w:rsidRPr="00C91E09">
        <w:t xml:space="preserve"> правового </w:t>
      </w:r>
      <w:proofErr w:type="spellStart"/>
      <w:r w:rsidRPr="00C91E09">
        <w:t>положения</w:t>
      </w:r>
      <w:proofErr w:type="spellEnd"/>
      <w:r w:rsidRPr="00C91E09">
        <w:t xml:space="preserve"> </w:t>
      </w:r>
      <w:proofErr w:type="spellStart"/>
      <w:r w:rsidRPr="00C91E09">
        <w:t>личности</w:t>
      </w:r>
      <w:proofErr w:type="spellEnd"/>
      <w:r w:rsidRPr="00C91E09">
        <w:t xml:space="preserve"> / Н.В. </w:t>
      </w:r>
      <w:proofErr w:type="spellStart"/>
      <w:r w:rsidRPr="00C91E09">
        <w:t>Витрук</w:t>
      </w:r>
      <w:proofErr w:type="spellEnd"/>
      <w:r w:rsidRPr="00C91E09">
        <w:t>. – М.: Норма, 2008. – 448 с.</w:t>
      </w:r>
    </w:p>
    <w:p w:rsidR="00244A8B" w:rsidRPr="00C91E09" w:rsidRDefault="00244A8B" w:rsidP="00C91E09">
      <w:pPr>
        <w:pStyle w:val="a3"/>
        <w:numPr>
          <w:ilvl w:val="0"/>
          <w:numId w:val="4"/>
        </w:numPr>
        <w:ind w:firstLine="567"/>
        <w:jc w:val="both"/>
      </w:pPr>
      <w:proofErr w:type="spellStart"/>
      <w:r w:rsidRPr="00C91E09">
        <w:t>Глухарева</w:t>
      </w:r>
      <w:proofErr w:type="spellEnd"/>
      <w:r w:rsidRPr="00C91E09">
        <w:t xml:space="preserve"> Л.И. Права </w:t>
      </w:r>
      <w:proofErr w:type="spellStart"/>
      <w:r w:rsidRPr="00C91E09">
        <w:t>человека</w:t>
      </w:r>
      <w:proofErr w:type="spellEnd"/>
      <w:r w:rsidRPr="00C91E09">
        <w:t xml:space="preserve"> в </w:t>
      </w:r>
      <w:proofErr w:type="spellStart"/>
      <w:r w:rsidRPr="00C91E09">
        <w:t>современном</w:t>
      </w:r>
      <w:proofErr w:type="spellEnd"/>
      <w:r w:rsidRPr="00C91E09">
        <w:t xml:space="preserve"> </w:t>
      </w:r>
      <w:proofErr w:type="spellStart"/>
      <w:r w:rsidRPr="00C91E09">
        <w:t>мире</w:t>
      </w:r>
      <w:proofErr w:type="spellEnd"/>
      <w:r w:rsidRPr="00C91E09">
        <w:t xml:space="preserve"> (</w:t>
      </w:r>
      <w:proofErr w:type="spellStart"/>
      <w:r w:rsidRPr="00C91E09">
        <w:t>социально-философские</w:t>
      </w:r>
      <w:proofErr w:type="spellEnd"/>
      <w:r w:rsidRPr="00C91E09">
        <w:t xml:space="preserve"> </w:t>
      </w:r>
      <w:proofErr w:type="spellStart"/>
      <w:r w:rsidRPr="00C91E09">
        <w:t>основы</w:t>
      </w:r>
      <w:proofErr w:type="spellEnd"/>
      <w:r w:rsidRPr="00C91E09">
        <w:t xml:space="preserve"> и </w:t>
      </w:r>
      <w:proofErr w:type="spellStart"/>
      <w:r w:rsidRPr="00C91E09">
        <w:t>государственно-правовое</w:t>
      </w:r>
      <w:proofErr w:type="spellEnd"/>
      <w:r w:rsidRPr="00C91E09">
        <w:t xml:space="preserve"> </w:t>
      </w:r>
      <w:proofErr w:type="spellStart"/>
      <w:r w:rsidRPr="00C91E09">
        <w:t>регулирование</w:t>
      </w:r>
      <w:proofErr w:type="spellEnd"/>
      <w:r w:rsidRPr="00C91E09">
        <w:t xml:space="preserve">) / </w:t>
      </w:r>
      <w:proofErr w:type="spellStart"/>
      <w:r w:rsidRPr="00C91E09">
        <w:t>Глухарева</w:t>
      </w:r>
      <w:proofErr w:type="spellEnd"/>
      <w:r w:rsidRPr="00C91E09">
        <w:t xml:space="preserve"> Л.И. – М.: </w:t>
      </w:r>
      <w:proofErr w:type="spellStart"/>
      <w:r w:rsidRPr="00C91E09">
        <w:t>Юристъ</w:t>
      </w:r>
      <w:proofErr w:type="spellEnd"/>
      <w:r w:rsidRPr="00C91E09">
        <w:t>, 2003. - 304 с.</w:t>
      </w:r>
    </w:p>
    <w:p w:rsidR="00244A8B" w:rsidRPr="00C91E09" w:rsidRDefault="00244A8B" w:rsidP="00C91E09">
      <w:pPr>
        <w:pStyle w:val="a3"/>
        <w:numPr>
          <w:ilvl w:val="0"/>
          <w:numId w:val="4"/>
        </w:numPr>
        <w:ind w:firstLine="567"/>
        <w:jc w:val="both"/>
      </w:pPr>
      <w:r w:rsidRPr="00C91E09">
        <w:t xml:space="preserve">Лукашук И.И. </w:t>
      </w:r>
      <w:proofErr w:type="spellStart"/>
      <w:r w:rsidRPr="00C91E09">
        <w:t>Глобализация</w:t>
      </w:r>
      <w:proofErr w:type="spellEnd"/>
      <w:r w:rsidRPr="00C91E09">
        <w:t xml:space="preserve">, </w:t>
      </w:r>
      <w:proofErr w:type="spellStart"/>
      <w:r w:rsidRPr="00C91E09">
        <w:t>государство</w:t>
      </w:r>
      <w:proofErr w:type="spellEnd"/>
      <w:r w:rsidRPr="00C91E09">
        <w:t>, право, ХХ</w:t>
      </w:r>
      <w:r w:rsidRPr="00C91E09">
        <w:rPr>
          <w:lang w:val="en-US"/>
        </w:rPr>
        <w:t>I</w:t>
      </w:r>
      <w:r w:rsidRPr="00C91E09">
        <w:t xml:space="preserve"> </w:t>
      </w:r>
      <w:proofErr w:type="spellStart"/>
      <w:r w:rsidRPr="00C91E09">
        <w:t>век</w:t>
      </w:r>
      <w:proofErr w:type="spellEnd"/>
      <w:r w:rsidRPr="00C91E09">
        <w:t xml:space="preserve"> / Лукашук И.И. – М.: </w:t>
      </w:r>
      <w:proofErr w:type="spellStart"/>
      <w:r w:rsidRPr="00C91E09">
        <w:t>Спарк</w:t>
      </w:r>
      <w:proofErr w:type="spellEnd"/>
      <w:r w:rsidRPr="00C91E09">
        <w:t>, 2000. – 61 с.</w:t>
      </w:r>
    </w:p>
    <w:p w:rsidR="00244A8B" w:rsidRPr="00C91E09" w:rsidRDefault="00244A8B" w:rsidP="00C91E09">
      <w:pPr>
        <w:pStyle w:val="a6"/>
        <w:numPr>
          <w:ilvl w:val="0"/>
          <w:numId w:val="4"/>
        </w:numPr>
        <w:tabs>
          <w:tab w:val="left" w:pos="1080"/>
        </w:tabs>
        <w:ind w:firstLine="567"/>
        <w:jc w:val="both"/>
        <w:rPr>
          <w:spacing w:val="-4"/>
        </w:rPr>
      </w:pPr>
      <w:r w:rsidRPr="00C91E09">
        <w:rPr>
          <w:spacing w:val="-4"/>
        </w:rPr>
        <w:t>Шевчук</w:t>
      </w:r>
      <w:r w:rsidRPr="00C91E09">
        <w:rPr>
          <w:spacing w:val="-4"/>
          <w:lang w:val="ru-RU"/>
        </w:rPr>
        <w:t xml:space="preserve"> </w:t>
      </w:r>
      <w:r w:rsidRPr="00C91E09">
        <w:rPr>
          <w:spacing w:val="-4"/>
        </w:rPr>
        <w:t>С. Порівняльне прецедентне право з прав людини / Шевчук</w:t>
      </w:r>
      <w:r w:rsidRPr="00C91E09">
        <w:rPr>
          <w:spacing w:val="-4"/>
          <w:lang w:val="ru-RU"/>
        </w:rPr>
        <w:t xml:space="preserve"> </w:t>
      </w:r>
      <w:r w:rsidRPr="00C91E09">
        <w:rPr>
          <w:spacing w:val="-4"/>
        </w:rPr>
        <w:t>С.</w:t>
      </w:r>
      <w:r w:rsidRPr="00C91E09">
        <w:rPr>
          <w:spacing w:val="-4"/>
          <w:lang w:val="ru-RU"/>
        </w:rPr>
        <w:t xml:space="preserve"> </w:t>
      </w:r>
      <w:r w:rsidRPr="00C91E09">
        <w:rPr>
          <w:spacing w:val="-4"/>
        </w:rPr>
        <w:t>– К. : Видавництво «Реферат», 2002. – 344</w:t>
      </w:r>
      <w:r w:rsidRPr="00C91E09">
        <w:rPr>
          <w:spacing w:val="-4"/>
          <w:lang w:val="ru-RU"/>
        </w:rPr>
        <w:t xml:space="preserve"> </w:t>
      </w:r>
      <w:r w:rsidRPr="00C91E09">
        <w:rPr>
          <w:spacing w:val="-4"/>
        </w:rPr>
        <w:t>с.</w:t>
      </w:r>
    </w:p>
    <w:p w:rsidR="00244A8B" w:rsidRPr="00C91E09" w:rsidRDefault="00244A8B" w:rsidP="00C91E09">
      <w:pPr>
        <w:ind w:firstLine="567"/>
        <w:jc w:val="both"/>
        <w:rPr>
          <w:sz w:val="20"/>
          <w:szCs w:val="20"/>
        </w:rPr>
      </w:pPr>
    </w:p>
    <w:p w:rsidR="00244A8B" w:rsidRPr="00C91E09" w:rsidRDefault="00244A8B" w:rsidP="00C91E09">
      <w:pPr>
        <w:ind w:firstLine="567"/>
        <w:jc w:val="both"/>
        <w:rPr>
          <w:sz w:val="20"/>
          <w:szCs w:val="20"/>
        </w:rPr>
      </w:pPr>
    </w:p>
    <w:p w:rsidR="00C91E09" w:rsidRPr="00C91E09" w:rsidRDefault="00244A8B" w:rsidP="00C91E09">
      <w:pPr>
        <w:jc w:val="right"/>
        <w:rPr>
          <w:b/>
          <w:i/>
          <w:iCs/>
          <w:sz w:val="20"/>
          <w:szCs w:val="20"/>
        </w:rPr>
      </w:pPr>
      <w:r w:rsidRPr="00C91E09">
        <w:rPr>
          <w:sz w:val="20"/>
          <w:szCs w:val="20"/>
        </w:rPr>
        <w:tab/>
      </w:r>
      <w:bookmarkStart w:id="0" w:name="_GoBack"/>
      <w:bookmarkEnd w:id="0"/>
    </w:p>
    <w:p w:rsidR="00BA3F13" w:rsidRPr="00C91E09" w:rsidRDefault="00BA3F13" w:rsidP="00C91E09">
      <w:pPr>
        <w:rPr>
          <w:sz w:val="20"/>
          <w:szCs w:val="20"/>
        </w:rPr>
      </w:pPr>
    </w:p>
    <w:sectPr w:rsidR="00BA3F13" w:rsidRPr="00C91E09" w:rsidSect="00C91E0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9F" w:rsidRDefault="00F2169F" w:rsidP="00552C0A">
      <w:r>
        <w:separator/>
      </w:r>
    </w:p>
  </w:endnote>
  <w:endnote w:type="continuationSeparator" w:id="0">
    <w:p w:rsidR="00F2169F" w:rsidRDefault="00F2169F" w:rsidP="0055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9F" w:rsidRDefault="00F2169F" w:rsidP="00552C0A">
      <w:r>
        <w:separator/>
      </w:r>
    </w:p>
  </w:footnote>
  <w:footnote w:type="continuationSeparator" w:id="0">
    <w:p w:rsidR="00F2169F" w:rsidRDefault="00F2169F" w:rsidP="00552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CAC"/>
    <w:multiLevelType w:val="hybridMultilevel"/>
    <w:tmpl w:val="7EB44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E857E8"/>
    <w:multiLevelType w:val="hybridMultilevel"/>
    <w:tmpl w:val="E9308CCE"/>
    <w:lvl w:ilvl="0" w:tplc="28C44110">
      <w:start w:val="1"/>
      <w:numFmt w:val="decimal"/>
      <w:lvlText w:val="%1."/>
      <w:lvlJc w:val="left"/>
      <w:pPr>
        <w:tabs>
          <w:tab w:val="num" w:pos="900"/>
        </w:tabs>
        <w:ind w:left="900" w:hanging="360"/>
      </w:pPr>
      <w:rPr>
        <w:rFonts w:ascii="Times New Roman" w:hAnsi="Times New Roman" w:cs="Times New Roman" w:hint="default"/>
        <w:b w:val="0"/>
        <w:i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6635ECF"/>
    <w:multiLevelType w:val="hybridMultilevel"/>
    <w:tmpl w:val="68142F7C"/>
    <w:lvl w:ilvl="0" w:tplc="06DEDD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4C0D75"/>
    <w:multiLevelType w:val="hybridMultilevel"/>
    <w:tmpl w:val="E1AE7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A0"/>
    <w:rsid w:val="00154AFB"/>
    <w:rsid w:val="00244A8B"/>
    <w:rsid w:val="00275C1C"/>
    <w:rsid w:val="002C3098"/>
    <w:rsid w:val="002F46CE"/>
    <w:rsid w:val="003A5FB0"/>
    <w:rsid w:val="003D23E2"/>
    <w:rsid w:val="00496A39"/>
    <w:rsid w:val="00552C0A"/>
    <w:rsid w:val="005C7083"/>
    <w:rsid w:val="00660857"/>
    <w:rsid w:val="006661DB"/>
    <w:rsid w:val="006E56FE"/>
    <w:rsid w:val="00772902"/>
    <w:rsid w:val="008416C2"/>
    <w:rsid w:val="008F7677"/>
    <w:rsid w:val="009478B7"/>
    <w:rsid w:val="009B04D2"/>
    <w:rsid w:val="009B1994"/>
    <w:rsid w:val="00A251A4"/>
    <w:rsid w:val="00B57022"/>
    <w:rsid w:val="00B705BD"/>
    <w:rsid w:val="00B76B53"/>
    <w:rsid w:val="00BA30C5"/>
    <w:rsid w:val="00BA3F13"/>
    <w:rsid w:val="00C60C6E"/>
    <w:rsid w:val="00C91E09"/>
    <w:rsid w:val="00C975BB"/>
    <w:rsid w:val="00CD6482"/>
    <w:rsid w:val="00CE0FEC"/>
    <w:rsid w:val="00DA25B3"/>
    <w:rsid w:val="00E82AE2"/>
    <w:rsid w:val="00EA1C50"/>
    <w:rsid w:val="00EB7CA0"/>
    <w:rsid w:val="00ED12A4"/>
    <w:rsid w:val="00F2169F"/>
    <w:rsid w:val="00F27C98"/>
    <w:rsid w:val="00F5649E"/>
    <w:rsid w:val="00F81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0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9"/>
    <w:qFormat/>
    <w:rsid w:val="005C7083"/>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52C0A"/>
    <w:rPr>
      <w:sz w:val="20"/>
      <w:szCs w:val="20"/>
    </w:rPr>
  </w:style>
  <w:style w:type="character" w:customStyle="1" w:styleId="a4">
    <w:name w:val="Текст сноски Знак"/>
    <w:basedOn w:val="a0"/>
    <w:link w:val="a3"/>
    <w:rsid w:val="00552C0A"/>
    <w:rPr>
      <w:rFonts w:ascii="Times New Roman" w:eastAsia="Times New Roman" w:hAnsi="Times New Roman" w:cs="Times New Roman"/>
      <w:sz w:val="20"/>
      <w:szCs w:val="20"/>
      <w:lang w:val="uk-UA" w:eastAsia="ru-RU"/>
    </w:rPr>
  </w:style>
  <w:style w:type="character" w:styleId="a5">
    <w:name w:val="footnote reference"/>
    <w:basedOn w:val="a0"/>
    <w:semiHidden/>
    <w:unhideWhenUsed/>
    <w:rsid w:val="00552C0A"/>
    <w:rPr>
      <w:vertAlign w:val="superscript"/>
    </w:rPr>
  </w:style>
  <w:style w:type="paragraph" w:styleId="a6">
    <w:name w:val="endnote text"/>
    <w:basedOn w:val="a"/>
    <w:link w:val="a7"/>
    <w:rsid w:val="00552C0A"/>
    <w:rPr>
      <w:sz w:val="20"/>
      <w:szCs w:val="20"/>
    </w:rPr>
  </w:style>
  <w:style w:type="character" w:customStyle="1" w:styleId="a7">
    <w:name w:val="Текст концевой сноски Знак"/>
    <w:basedOn w:val="a0"/>
    <w:link w:val="a6"/>
    <w:rsid w:val="00552C0A"/>
    <w:rPr>
      <w:rFonts w:ascii="Times New Roman" w:eastAsia="Times New Roman" w:hAnsi="Times New Roman" w:cs="Times New Roman"/>
      <w:sz w:val="20"/>
      <w:szCs w:val="20"/>
      <w:lang w:val="uk-UA" w:eastAsia="ru-RU"/>
    </w:rPr>
  </w:style>
  <w:style w:type="paragraph" w:styleId="a8">
    <w:name w:val="List Paragraph"/>
    <w:basedOn w:val="a"/>
    <w:uiPriority w:val="34"/>
    <w:qFormat/>
    <w:rsid w:val="00552C0A"/>
    <w:pPr>
      <w:ind w:left="720"/>
      <w:contextualSpacing/>
    </w:pPr>
  </w:style>
  <w:style w:type="character" w:customStyle="1" w:styleId="10">
    <w:name w:val="Заголовок 1 Знак"/>
    <w:basedOn w:val="a0"/>
    <w:link w:val="1"/>
    <w:uiPriority w:val="99"/>
    <w:rsid w:val="005C7083"/>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5C7083"/>
    <w:rPr>
      <w:color w:val="0000FF"/>
      <w:u w:val="single"/>
    </w:rPr>
  </w:style>
  <w:style w:type="paragraph" w:styleId="aa">
    <w:name w:val="header"/>
    <w:basedOn w:val="a"/>
    <w:link w:val="ab"/>
    <w:uiPriority w:val="99"/>
    <w:unhideWhenUsed/>
    <w:rsid w:val="00F81D2A"/>
    <w:pPr>
      <w:tabs>
        <w:tab w:val="center" w:pos="4677"/>
        <w:tab w:val="right" w:pos="9355"/>
      </w:tabs>
    </w:pPr>
  </w:style>
  <w:style w:type="character" w:customStyle="1" w:styleId="ab">
    <w:name w:val="Верхний колонтитул Знак"/>
    <w:basedOn w:val="a0"/>
    <w:link w:val="aa"/>
    <w:uiPriority w:val="99"/>
    <w:rsid w:val="00F81D2A"/>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F81D2A"/>
    <w:pPr>
      <w:tabs>
        <w:tab w:val="center" w:pos="4677"/>
        <w:tab w:val="right" w:pos="9355"/>
      </w:tabs>
    </w:pPr>
  </w:style>
  <w:style w:type="character" w:customStyle="1" w:styleId="ad">
    <w:name w:val="Нижний колонтитул Знак"/>
    <w:basedOn w:val="a0"/>
    <w:link w:val="ac"/>
    <w:uiPriority w:val="99"/>
    <w:rsid w:val="00F81D2A"/>
    <w:rPr>
      <w:rFonts w:ascii="Times New Roman" w:eastAsia="Times New Roman" w:hAnsi="Times New Roman" w:cs="Times New Roman"/>
      <w:sz w:val="24"/>
      <w:szCs w:val="24"/>
      <w:lang w:val="uk-UA" w:eastAsia="ru-RU"/>
    </w:rPr>
  </w:style>
  <w:style w:type="paragraph" w:customStyle="1" w:styleId="Style9">
    <w:name w:val="Style9"/>
    <w:basedOn w:val="a"/>
    <w:uiPriority w:val="99"/>
    <w:rsid w:val="002C3098"/>
    <w:pPr>
      <w:widowControl w:val="0"/>
      <w:autoSpaceDE w:val="0"/>
      <w:autoSpaceDN w:val="0"/>
      <w:adjustRightInd w:val="0"/>
      <w:spacing w:line="253" w:lineRule="exact"/>
      <w:jc w:val="both"/>
    </w:pPr>
    <w:rPr>
      <w:lang w:val="ru-RU"/>
    </w:rPr>
  </w:style>
  <w:style w:type="character" w:customStyle="1" w:styleId="FontStyle22">
    <w:name w:val="Font Style22"/>
    <w:uiPriority w:val="99"/>
    <w:rsid w:val="002C3098"/>
    <w:rPr>
      <w:rFonts w:ascii="Times New Roman" w:hAnsi="Times New Roman" w:cs="Times New Roman" w:hint="default"/>
      <w:sz w:val="18"/>
    </w:rPr>
  </w:style>
  <w:style w:type="character" w:customStyle="1" w:styleId="xfmc1">
    <w:name w:val="xfmc1"/>
    <w:basedOn w:val="a0"/>
    <w:rsid w:val="00B76B53"/>
  </w:style>
  <w:style w:type="paragraph" w:styleId="HTML">
    <w:name w:val="HTML Preformatted"/>
    <w:basedOn w:val="a"/>
    <w:link w:val="HTML0"/>
    <w:semiHidden/>
    <w:unhideWhenUsed/>
    <w:rsid w:val="0024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semiHidden/>
    <w:rsid w:val="00244A8B"/>
    <w:rPr>
      <w:rFonts w:ascii="Courier New" w:eastAsia="Times New Roman" w:hAnsi="Courier New" w:cs="Courier New"/>
      <w:color w:val="000000"/>
      <w:sz w:val="21"/>
      <w:szCs w:val="21"/>
      <w:lang w:eastAsia="ru-RU"/>
    </w:rPr>
  </w:style>
  <w:style w:type="character" w:styleId="ae">
    <w:name w:val="Strong"/>
    <w:basedOn w:val="a0"/>
    <w:uiPriority w:val="22"/>
    <w:qFormat/>
    <w:rsid w:val="00244A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0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9"/>
    <w:qFormat/>
    <w:rsid w:val="005C7083"/>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52C0A"/>
    <w:rPr>
      <w:sz w:val="20"/>
      <w:szCs w:val="20"/>
    </w:rPr>
  </w:style>
  <w:style w:type="character" w:customStyle="1" w:styleId="a4">
    <w:name w:val="Текст сноски Знак"/>
    <w:basedOn w:val="a0"/>
    <w:link w:val="a3"/>
    <w:rsid w:val="00552C0A"/>
    <w:rPr>
      <w:rFonts w:ascii="Times New Roman" w:eastAsia="Times New Roman" w:hAnsi="Times New Roman" w:cs="Times New Roman"/>
      <w:sz w:val="20"/>
      <w:szCs w:val="20"/>
      <w:lang w:val="uk-UA" w:eastAsia="ru-RU"/>
    </w:rPr>
  </w:style>
  <w:style w:type="character" w:styleId="a5">
    <w:name w:val="footnote reference"/>
    <w:basedOn w:val="a0"/>
    <w:semiHidden/>
    <w:unhideWhenUsed/>
    <w:rsid w:val="00552C0A"/>
    <w:rPr>
      <w:vertAlign w:val="superscript"/>
    </w:rPr>
  </w:style>
  <w:style w:type="paragraph" w:styleId="a6">
    <w:name w:val="endnote text"/>
    <w:basedOn w:val="a"/>
    <w:link w:val="a7"/>
    <w:rsid w:val="00552C0A"/>
    <w:rPr>
      <w:sz w:val="20"/>
      <w:szCs w:val="20"/>
    </w:rPr>
  </w:style>
  <w:style w:type="character" w:customStyle="1" w:styleId="a7">
    <w:name w:val="Текст концевой сноски Знак"/>
    <w:basedOn w:val="a0"/>
    <w:link w:val="a6"/>
    <w:rsid w:val="00552C0A"/>
    <w:rPr>
      <w:rFonts w:ascii="Times New Roman" w:eastAsia="Times New Roman" w:hAnsi="Times New Roman" w:cs="Times New Roman"/>
      <w:sz w:val="20"/>
      <w:szCs w:val="20"/>
      <w:lang w:val="uk-UA" w:eastAsia="ru-RU"/>
    </w:rPr>
  </w:style>
  <w:style w:type="paragraph" w:styleId="a8">
    <w:name w:val="List Paragraph"/>
    <w:basedOn w:val="a"/>
    <w:uiPriority w:val="34"/>
    <w:qFormat/>
    <w:rsid w:val="00552C0A"/>
    <w:pPr>
      <w:ind w:left="720"/>
      <w:contextualSpacing/>
    </w:pPr>
  </w:style>
  <w:style w:type="character" w:customStyle="1" w:styleId="10">
    <w:name w:val="Заголовок 1 Знак"/>
    <w:basedOn w:val="a0"/>
    <w:link w:val="1"/>
    <w:uiPriority w:val="99"/>
    <w:rsid w:val="005C7083"/>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5C7083"/>
    <w:rPr>
      <w:color w:val="0000FF"/>
      <w:u w:val="single"/>
    </w:rPr>
  </w:style>
  <w:style w:type="paragraph" w:styleId="aa">
    <w:name w:val="header"/>
    <w:basedOn w:val="a"/>
    <w:link w:val="ab"/>
    <w:uiPriority w:val="99"/>
    <w:unhideWhenUsed/>
    <w:rsid w:val="00F81D2A"/>
    <w:pPr>
      <w:tabs>
        <w:tab w:val="center" w:pos="4677"/>
        <w:tab w:val="right" w:pos="9355"/>
      </w:tabs>
    </w:pPr>
  </w:style>
  <w:style w:type="character" w:customStyle="1" w:styleId="ab">
    <w:name w:val="Верхний колонтитул Знак"/>
    <w:basedOn w:val="a0"/>
    <w:link w:val="aa"/>
    <w:uiPriority w:val="99"/>
    <w:rsid w:val="00F81D2A"/>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F81D2A"/>
    <w:pPr>
      <w:tabs>
        <w:tab w:val="center" w:pos="4677"/>
        <w:tab w:val="right" w:pos="9355"/>
      </w:tabs>
    </w:pPr>
  </w:style>
  <w:style w:type="character" w:customStyle="1" w:styleId="ad">
    <w:name w:val="Нижний колонтитул Знак"/>
    <w:basedOn w:val="a0"/>
    <w:link w:val="ac"/>
    <w:uiPriority w:val="99"/>
    <w:rsid w:val="00F81D2A"/>
    <w:rPr>
      <w:rFonts w:ascii="Times New Roman" w:eastAsia="Times New Roman" w:hAnsi="Times New Roman" w:cs="Times New Roman"/>
      <w:sz w:val="24"/>
      <w:szCs w:val="24"/>
      <w:lang w:val="uk-UA" w:eastAsia="ru-RU"/>
    </w:rPr>
  </w:style>
  <w:style w:type="paragraph" w:customStyle="1" w:styleId="Style9">
    <w:name w:val="Style9"/>
    <w:basedOn w:val="a"/>
    <w:uiPriority w:val="99"/>
    <w:rsid w:val="002C3098"/>
    <w:pPr>
      <w:widowControl w:val="0"/>
      <w:autoSpaceDE w:val="0"/>
      <w:autoSpaceDN w:val="0"/>
      <w:adjustRightInd w:val="0"/>
      <w:spacing w:line="253" w:lineRule="exact"/>
      <w:jc w:val="both"/>
    </w:pPr>
    <w:rPr>
      <w:lang w:val="ru-RU"/>
    </w:rPr>
  </w:style>
  <w:style w:type="character" w:customStyle="1" w:styleId="FontStyle22">
    <w:name w:val="Font Style22"/>
    <w:uiPriority w:val="99"/>
    <w:rsid w:val="002C3098"/>
    <w:rPr>
      <w:rFonts w:ascii="Times New Roman" w:hAnsi="Times New Roman" w:cs="Times New Roman" w:hint="default"/>
      <w:sz w:val="18"/>
    </w:rPr>
  </w:style>
  <w:style w:type="character" w:customStyle="1" w:styleId="xfmc1">
    <w:name w:val="xfmc1"/>
    <w:basedOn w:val="a0"/>
    <w:rsid w:val="00B76B53"/>
  </w:style>
  <w:style w:type="paragraph" w:styleId="HTML">
    <w:name w:val="HTML Preformatted"/>
    <w:basedOn w:val="a"/>
    <w:link w:val="HTML0"/>
    <w:semiHidden/>
    <w:unhideWhenUsed/>
    <w:rsid w:val="0024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semiHidden/>
    <w:rsid w:val="00244A8B"/>
    <w:rPr>
      <w:rFonts w:ascii="Courier New" w:eastAsia="Times New Roman" w:hAnsi="Courier New" w:cs="Courier New"/>
      <w:color w:val="000000"/>
      <w:sz w:val="21"/>
      <w:szCs w:val="21"/>
      <w:lang w:eastAsia="ru-RU"/>
    </w:rPr>
  </w:style>
  <w:style w:type="character" w:styleId="ae">
    <w:name w:val="Strong"/>
    <w:basedOn w:val="a0"/>
    <w:uiPriority w:val="22"/>
    <w:qFormat/>
    <w:rsid w:val="00244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1247</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24</cp:revision>
  <dcterms:created xsi:type="dcterms:W3CDTF">2014-06-07T21:05:00Z</dcterms:created>
  <dcterms:modified xsi:type="dcterms:W3CDTF">2015-02-25T16:30:00Z</dcterms:modified>
</cp:coreProperties>
</file>