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DB" w:rsidRPr="00351B5C" w:rsidRDefault="00300011" w:rsidP="00351B5C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uk-UA" w:eastAsia="ar-SA"/>
        </w:rPr>
      </w:pPr>
      <w:r>
        <w:rPr>
          <w:rFonts w:ascii="Times New Roman" w:eastAsia="SimSun" w:hAnsi="Times New Roman" w:cs="Times New Roman"/>
          <w:b/>
          <w:color w:val="000000"/>
          <w:sz w:val="20"/>
          <w:szCs w:val="20"/>
          <w:lang w:val="uk-UA" w:eastAsia="ar-SA"/>
        </w:rPr>
        <w:t>УДК 347.73:336.22</w:t>
      </w:r>
    </w:p>
    <w:p w:rsidR="008F0BD3" w:rsidRDefault="008F0BD3" w:rsidP="00351B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54EDB" w:rsidRDefault="00754EDB" w:rsidP="00351B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8126E">
        <w:rPr>
          <w:rFonts w:ascii="Times New Roman" w:hAnsi="Times New Roman" w:cs="Times New Roman"/>
          <w:b/>
          <w:sz w:val="20"/>
          <w:szCs w:val="20"/>
          <w:lang w:val="uk-UA"/>
        </w:rPr>
        <w:t>Ігнатенко С.</w:t>
      </w:r>
      <w:r w:rsidR="00E8126E" w:rsidRPr="00E8126E">
        <w:rPr>
          <w:rFonts w:ascii="Times New Roman" w:hAnsi="Times New Roman" w:cs="Times New Roman"/>
          <w:b/>
          <w:sz w:val="20"/>
          <w:szCs w:val="20"/>
          <w:lang w:val="uk-UA"/>
        </w:rPr>
        <w:t>В.</w:t>
      </w:r>
      <w:r w:rsidRPr="00E812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, </w:t>
      </w:r>
      <w:r w:rsidRPr="00E8126E">
        <w:rPr>
          <w:rFonts w:ascii="Times New Roman" w:hAnsi="Times New Roman" w:cs="Times New Roman"/>
          <w:sz w:val="20"/>
          <w:szCs w:val="20"/>
          <w:lang w:val="uk-UA"/>
        </w:rPr>
        <w:t>студентка гр. ПР</w:t>
      </w:r>
      <w:r w:rsidRPr="00E8126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153</w:t>
      </w:r>
    </w:p>
    <w:p w:rsidR="00754EDB" w:rsidRDefault="00754EDB" w:rsidP="00351B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F0BD3">
        <w:rPr>
          <w:rFonts w:ascii="Times New Roman" w:hAnsi="Times New Roman" w:cs="Times New Roman"/>
          <w:b/>
          <w:sz w:val="20"/>
          <w:szCs w:val="20"/>
          <w:lang w:val="uk-UA"/>
        </w:rPr>
        <w:t>Козинець І.Г</w:t>
      </w:r>
      <w:r>
        <w:rPr>
          <w:rFonts w:ascii="Times New Roman" w:hAnsi="Times New Roman" w:cs="Times New Roman"/>
          <w:sz w:val="20"/>
          <w:szCs w:val="20"/>
          <w:lang w:val="uk-UA"/>
        </w:rPr>
        <w:t>., ст. викладач кафедри цивільного,</w:t>
      </w:r>
      <w:r w:rsidR="00351B5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8126E">
        <w:rPr>
          <w:rFonts w:ascii="Times New Roman" w:hAnsi="Times New Roman" w:cs="Times New Roman"/>
          <w:sz w:val="20"/>
          <w:szCs w:val="20"/>
          <w:lang w:val="uk-UA"/>
        </w:rPr>
        <w:t>господарського права та процесу</w:t>
      </w:r>
    </w:p>
    <w:p w:rsidR="00754EDB" w:rsidRDefault="00754EDB" w:rsidP="00351B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0"/>
          <w:szCs w:val="20"/>
          <w:lang w:val="uk-UA"/>
        </w:rPr>
        <w:t>Чернігівський національний технологічний університет</w:t>
      </w:r>
    </w:p>
    <w:bookmarkEnd w:id="0"/>
    <w:p w:rsidR="00754EDB" w:rsidRDefault="00754EDB" w:rsidP="00754EDB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</w:pPr>
    </w:p>
    <w:p w:rsidR="00754EDB" w:rsidRPr="00754EDB" w:rsidRDefault="00754EDB" w:rsidP="00754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</w:pPr>
      <w:r w:rsidRPr="00754EDB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  <w:t xml:space="preserve">ІСТОРІЯ ВИНИКНЕННЯ ПДВ ТА ПРАКТИКА </w:t>
      </w:r>
      <w:r w:rsidR="00E44602" w:rsidRPr="00754EDB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  <w:t xml:space="preserve">ЙОГО </w:t>
      </w:r>
      <w:r w:rsidRPr="00754EDB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  <w:t>ЗАСТОСУВАННЯ В РІЗНИХ КРАЇНАХ СВІТУ</w:t>
      </w:r>
    </w:p>
    <w:p w:rsidR="00754EDB" w:rsidRDefault="00754EDB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B45A2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сучасних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умовах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податкові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надходження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осн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овним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джерелом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доходів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держави.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Значну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податкових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надходжень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зай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має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податок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додану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вартість.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Податок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додану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вартість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(ПД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В) – це непрямий податок, який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входить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ціну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товарів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(робіт,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послуг)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сплачується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покупцем,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облік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перерахування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державного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бюджету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здійс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нює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продавець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(податковий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агент)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C63F1F" w:rsidRPr="00754EDB">
        <w:rPr>
          <w:rFonts w:ascii="Times New Roman" w:hAnsi="Times New Roman" w:cs="Times New Roman"/>
          <w:sz w:val="20"/>
          <w:szCs w:val="20"/>
          <w:lang w:val="uk-UA"/>
        </w:rPr>
        <w:t>, с.384</w:t>
      </w:r>
      <w:r w:rsidR="008B45A2" w:rsidRPr="00754EDB">
        <w:rPr>
          <w:rFonts w:ascii="Times New Roman" w:hAnsi="Times New Roman" w:cs="Times New Roman"/>
          <w:sz w:val="20"/>
          <w:szCs w:val="20"/>
          <w:lang w:val="uk-UA"/>
        </w:rPr>
        <w:t>].</w:t>
      </w:r>
    </w:p>
    <w:p w:rsidR="00E72E90" w:rsidRPr="00754EDB" w:rsidRDefault="00134B6D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Існує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багато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суперечностей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додану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вартість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(ПДВ):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справедливості,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форми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стягнення,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загалом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необхідності.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вирішення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цих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суперечн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остей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необхідно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дослідити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енезис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додану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вартість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проаналізувати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світовий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досвід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застосування</w:t>
      </w:r>
      <w:r w:rsidR="00AB183F"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30BAD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Ва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жко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встановити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коли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саме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виник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Одними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родоначальників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могли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німецький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бізнесмен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Вільгельм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фон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Сіменс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1918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році,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або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37AF" w:rsidRPr="00754EDB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мериканський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економіст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Томас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Адамс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своїх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працях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1910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1921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роками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B5985" w:rsidRPr="00754E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теоретично обґрунтовували доцільність і необхідність введення такого податку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Концепція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запропонована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Сіменсом,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технічною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інновацією,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удосконалила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обороту.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Запровадження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дало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змогу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підприємцям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повертати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частину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сплачених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податків,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чином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уникаючи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ряду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проблем,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виникають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стягненням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обороту.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Незважаючи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те,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Сіменсом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значною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інновацією,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автор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навряд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ставив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повалення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існуючого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фіскального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порядку.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Адамс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же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вбачав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додану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вартість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гідну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заміну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прибуток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підприємств.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зосереджений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федеральній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податковій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політиці,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його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існувало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ефективного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національного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продажу,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Адамса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турбувало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технічне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вдосконалення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вже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існуючих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податків,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створення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дієвої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альтернативи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вже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існуючому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феде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ральному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прибутковому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].</w:t>
      </w:r>
    </w:p>
    <w:p w:rsidR="005D7A21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приділяли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значної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уваги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наукові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новаторські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Західній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США.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Німеччина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разом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більшою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частиною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Західної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сприйняли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технічну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модифікацію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продажу,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доповнення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прибуткового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США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навпаки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політики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прагнули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запровадити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повноправну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заміну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федерального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прибуткового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їхні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тодішні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спроби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залишилися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марними.</w:t>
      </w:r>
    </w:p>
    <w:p w:rsidR="00AB183F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Першим,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описав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сам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механізм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француз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Моріс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Лоре</w:t>
      </w:r>
      <w:proofErr w:type="spellEnd"/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1954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році.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використання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набуло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значного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поширення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Франції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1968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році.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першою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країною,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стягувавс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повноцінний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ПДВ,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стала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Данія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1967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році,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хоча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частиною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Європейського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економічного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співтовариства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1973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року.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Запровадження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світі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можна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поділити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два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основні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етапи.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Перший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відбувався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основному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Західній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Латинській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Америці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1960-х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1970-х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роках.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Розвиток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спричинений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серією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директив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вимагають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держав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членів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узгоджувати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собою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свою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політику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]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AB183F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Другий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етап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прийняття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проходив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кінця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1980-х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ознаменувався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введенням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деяких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промислов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розвинених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країн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межами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ЄС,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наприклад,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Австралії,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Канаді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Японії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Швейцарії.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Ця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фаза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акож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сприяла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масивному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розширений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перехід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економік,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розвиваються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першу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чергу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Африці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Азії.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Значну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роль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прийняттю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цими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відіграли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міжнародні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установи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МВФ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Світовий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банк.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слід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також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недооцінювати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вплив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американських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політиків-лобістів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зацікавлених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агенцій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просуванні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діяльність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включає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себе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неуспішні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спроби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США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запровадити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окупованій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території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Японії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після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Другої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Світової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Війни.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Помітну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роль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відігравало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Агентство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США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міжнародного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розвитку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(USAID)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просуванні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шляхом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надання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фінансування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технічної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допомоги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країнам,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розвиваються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перехідною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економікою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].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дивно,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саме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американські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експерти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послідовними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лобістами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експорту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податкової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реформи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кордон,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ористувалась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популярністю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США,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зараз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там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застосовується.</w:t>
      </w:r>
    </w:p>
    <w:p w:rsidR="00AB183F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чином,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поширення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пояснюється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якостями:</w:t>
      </w:r>
    </w:p>
    <w:p w:rsidR="00AB183F" w:rsidRPr="00754EDB" w:rsidRDefault="00AB183F" w:rsidP="00754EDB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найкращим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методом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оподаткування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загального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споживання;</w:t>
      </w:r>
    </w:p>
    <w:p w:rsidR="00AB183F" w:rsidRPr="00754EDB" w:rsidRDefault="00AB183F" w:rsidP="00754EDB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нейтральний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відношенню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експорту;</w:t>
      </w:r>
    </w:p>
    <w:p w:rsidR="005D7A21" w:rsidRPr="00754EDB" w:rsidRDefault="00AB183F" w:rsidP="00754EDB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високий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дохідний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потенціал.</w:t>
      </w:r>
    </w:p>
    <w:p w:rsidR="00AB183F" w:rsidRPr="00754EDB" w:rsidRDefault="00AB183F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Введення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загальнодержавного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споживання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розвинених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країнах,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Австралія,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Канада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Японія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зустріло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запеклий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тривалий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опір.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огляду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опір,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змінювався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іншій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мірі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відходив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ідеального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варіанту.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Австралії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інших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місцях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бази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оподаткування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виключено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харчування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деякі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найважливіші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послуги,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зменшення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рівня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несхвалення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Японії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це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відбилося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прийняттям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методу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вирахування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низькою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(8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%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2016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рік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[4])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Канаді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це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призвело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повільного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тривалого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процесу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узгодження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федерального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провінційними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податками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продажу.</w:t>
      </w:r>
    </w:p>
    <w:p w:rsidR="00D30BAD" w:rsidRPr="00754EDB" w:rsidRDefault="005D7A21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Сьогодні,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європейських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астосування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оптимальної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оподаткування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передбачає,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крім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визначення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власне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розміру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стандартної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ставки,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обґрунтування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доцільності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застосування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додаткових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(диференційованих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ставок).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Це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означає,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автоматично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виникає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необхідність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обґрунтування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яких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груп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товарів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(робіт,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послуг)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будуть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застосовуватися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знижені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ставки,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які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групи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товарів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(робіт,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послуг)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будуть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звільнені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оподаткування.</w:t>
      </w:r>
    </w:p>
    <w:p w:rsidR="00D30BAD" w:rsidRPr="00754EDB" w:rsidRDefault="00D30BAD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lastRenderedPageBreak/>
        <w:t>Слід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зазначити,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станом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D7A21" w:rsidRPr="00754EDB">
        <w:rPr>
          <w:rFonts w:ascii="Times New Roman" w:hAnsi="Times New Roman" w:cs="Times New Roman"/>
          <w:sz w:val="20"/>
          <w:szCs w:val="20"/>
          <w:lang w:val="uk-UA"/>
        </w:rPr>
        <w:t>2016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єдина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справляння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серед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членів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застосовувалася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тільки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Данії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(25%)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Словаччині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(20%)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6D0A7F" w:rsidRPr="00754EDB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].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Данії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досить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високою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(враховуючи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мінімум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пільг),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вона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забезпечує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реалізацію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тільки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фіскального,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регулюючого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потенціалу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Датські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фахівці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обґрунтовують,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розмір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забезпечує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стимулювання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експорту.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Данії,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економіка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просто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експортоорієнтованою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такою,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характеризується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високою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конкурентоспроможністю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значною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часткою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експорті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продукції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високою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питомою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вагою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доданої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вартості.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Саме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механізм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спрацьовує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економіками,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експортують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переважно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сировину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іншу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продукцію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низькою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часткою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доданої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вартості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]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30BAD" w:rsidRPr="00754EDB" w:rsidRDefault="00D30BAD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перевищують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20%,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уються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Бельгії,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Чехії,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Ірландії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Литві,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Нід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ерландах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(21%),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Італії,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Фінляндії,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Латвії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(22%),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Греції,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Польщі,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Португалії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(23%),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Данії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Швеції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(25%).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Найвища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27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%,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застосовується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Угорщині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6D0A7F" w:rsidRPr="00754EDB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].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зазначити,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більшість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зазначених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змушені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підняти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після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кризи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2008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р.,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обумовлено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вимогами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дотримуватися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граничного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рівня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бюджетного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дефіциту,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саме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одним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податків,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який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здатний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забезпечити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надходження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бюджету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навіть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період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економічної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депресії.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Найнижча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серед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Люксембурзі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Кіпрі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15%.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зазначити,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Люксембург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має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потреби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максимальній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реалізації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фіскального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потенціалу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оскільки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тривалий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ця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займає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провідні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місця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рейтингах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конкурентоспроможності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характеризується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найвищим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рівнем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життя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50%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вище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середнього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Європі),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бюджет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формується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переважно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рахунок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власність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прибуткових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податків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134B6D" w:rsidRPr="00754EDB">
        <w:rPr>
          <w:rFonts w:ascii="Times New Roman" w:hAnsi="Times New Roman" w:cs="Times New Roman"/>
          <w:sz w:val="20"/>
          <w:szCs w:val="20"/>
          <w:lang w:val="uk-UA"/>
        </w:rPr>
        <w:t>]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30BAD" w:rsidRPr="00754EDB" w:rsidRDefault="00D30BAD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Всі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крім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Данії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252BA" w:rsidRPr="00754EDB">
        <w:rPr>
          <w:rFonts w:ascii="Times New Roman" w:hAnsi="Times New Roman" w:cs="Times New Roman"/>
          <w:sz w:val="20"/>
          <w:szCs w:val="20"/>
          <w:lang w:val="uk-UA"/>
        </w:rPr>
        <w:t>Словаччини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разом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підвищенням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запровадили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кілька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груп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товарів.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Переважно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це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стосується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товарів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першої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необхідності,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послуг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громадського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транспорту,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ліків,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медичного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обладнання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осіб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особливими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потребами,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дитячих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крісел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тощо.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Болгарія,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Німеччина,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Кіпр,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Латвія,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Мальта,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Румунія,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Словенія,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Чехія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Естонія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застосовують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одну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ставку.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Найбільший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варіаційний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розмах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стандартною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характерний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Естонії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Мальти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(18%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5%)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33C7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6D0A7F" w:rsidRPr="00754EDB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0033C7" w:rsidRPr="00754EDB">
        <w:rPr>
          <w:rFonts w:ascii="Times New Roman" w:hAnsi="Times New Roman" w:cs="Times New Roman"/>
          <w:sz w:val="20"/>
          <w:szCs w:val="20"/>
          <w:lang w:val="uk-UA"/>
        </w:rPr>
        <w:t>]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зазначити,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інші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спеціальні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зазначені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застосовують,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однак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комбінація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ставок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дала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можливість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їм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максимально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реалізувати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тільки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фіскальний,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але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регуляторний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потенціал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Найменший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варіаційний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розмах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стандартною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характерний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Кіпру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(15%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%),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Латвії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(22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%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%),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Румунії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(19%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9%)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однак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цьому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справляння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ПДВ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розповсюджуються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широкий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перелік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товарів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послуг: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харчування,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послуги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водопостачання,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фармацевтичну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продукцію,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обладнання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осіб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особливими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потребами,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дитячі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крісла,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пасажирські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перевезення,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книги,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журнали,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газети,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послуги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культури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(кіно,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еатри),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діяльність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готелів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тощо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наш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погляд,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досвід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буде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корисним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України,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оскільки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містить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елементи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соціального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захисту,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актуально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умовах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реальних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доходів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населення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D0A7F" w:rsidRPr="00754EDB">
        <w:rPr>
          <w:rFonts w:ascii="Times New Roman" w:hAnsi="Times New Roman" w:cs="Times New Roman"/>
          <w:sz w:val="20"/>
          <w:szCs w:val="20"/>
          <w:lang w:val="uk-UA"/>
        </w:rPr>
        <w:t>[</w:t>
      </w:r>
      <w:r w:rsidR="008B5985" w:rsidRPr="00754EDB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6D0A7F" w:rsidRPr="00754EDB">
        <w:rPr>
          <w:rFonts w:ascii="Times New Roman" w:hAnsi="Times New Roman" w:cs="Times New Roman"/>
          <w:sz w:val="20"/>
          <w:szCs w:val="20"/>
          <w:lang w:val="uk-UA"/>
        </w:rPr>
        <w:t>]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561181" w:rsidRPr="00754EDB" w:rsidRDefault="00D30BAD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Крім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ставок,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окремі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країни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застосовують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спеціальні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ставки: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Іспанія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(4%)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харчування,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фармацевтична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продукція,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видання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книг,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газет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журналів;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Франція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3F09" w:rsidRPr="00754EDB">
        <w:rPr>
          <w:rFonts w:ascii="Times New Roman" w:hAnsi="Times New Roman" w:cs="Times New Roman"/>
          <w:sz w:val="20"/>
          <w:szCs w:val="20"/>
          <w:lang w:val="uk-UA"/>
        </w:rPr>
        <w:t>(2,1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фармацевтична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продукція,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видання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книг,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газет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журналів;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Ірландія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(4,8%)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харчування;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Італія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(4%)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продукти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харчування,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обладнання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осіб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особливими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потребами,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видання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книг,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газет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журналів,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соціальні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послуги;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Люксембург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(3%)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практично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для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всіх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груп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товарів,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дозволених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Директивою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ЄС.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Оскільки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спеціальні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знижені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ставки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застосовуються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нетривалий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період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часу,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ефект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їх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запровадження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поки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достовірно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оцінити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>складно.</w:t>
      </w:r>
    </w:p>
    <w:p w:rsidR="00AB183F" w:rsidRPr="00754EDB" w:rsidRDefault="00810269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>Отже,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можна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зазначити,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що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більшість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країн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намагається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віднайти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таку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комбінацію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ставок,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яка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б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забезпечила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збалансування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регулюючого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фіскального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потенціалу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ПДВ.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Україна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також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має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прагнути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збалансувати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інтереси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держави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платників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податків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основі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оптимальн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диференціації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ставок.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F4404" w:rsidRPr="00754EDB">
        <w:rPr>
          <w:rFonts w:ascii="Times New Roman" w:hAnsi="Times New Roman" w:cs="Times New Roman"/>
          <w:sz w:val="20"/>
          <w:szCs w:val="20"/>
          <w:lang w:val="uk-UA"/>
        </w:rPr>
        <w:t>Однак,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не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варто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одразу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орієнтуватися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досвід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країн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високим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рівнем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розвитку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економіки.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Передусім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необхідно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звернутися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досвіду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країн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постсоціалістичного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простору,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які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мали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схожі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українськими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проблеми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знайшли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шлях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вдалого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їх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30BAD" w:rsidRPr="00754EDB">
        <w:rPr>
          <w:rFonts w:ascii="Times New Roman" w:hAnsi="Times New Roman" w:cs="Times New Roman"/>
          <w:sz w:val="20"/>
          <w:szCs w:val="20"/>
          <w:lang w:val="uk-UA"/>
        </w:rPr>
        <w:t>вирішення.</w:t>
      </w:r>
    </w:p>
    <w:p w:rsidR="00D30BAD" w:rsidRPr="00754EDB" w:rsidRDefault="00D30BAD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30BAD" w:rsidRPr="00754EDB" w:rsidRDefault="00D30BAD" w:rsidP="00754ED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b/>
          <w:sz w:val="20"/>
          <w:szCs w:val="20"/>
          <w:lang w:val="uk-UA"/>
        </w:rPr>
        <w:t>Список</w:t>
      </w:r>
      <w:r w:rsidR="000F23AE" w:rsidRPr="00754ED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51B5C">
        <w:rPr>
          <w:rFonts w:ascii="Times New Roman" w:hAnsi="Times New Roman" w:cs="Times New Roman"/>
          <w:b/>
          <w:sz w:val="20"/>
          <w:szCs w:val="20"/>
          <w:lang w:val="uk-UA"/>
        </w:rPr>
        <w:t>літератури</w:t>
      </w:r>
    </w:p>
    <w:p w:rsidR="008B5985" w:rsidRPr="00754EDB" w:rsidRDefault="008B5985" w:rsidP="00351B5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1. Податок на додану вартість // Словник фінансово-правових термінів / за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. ред. д.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ю.н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., проф. Л. К. Воронової. – 2-е вид.,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переробл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. і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доповн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. – К.: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Алерта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>, 2011– 558 с.</w:t>
      </w:r>
    </w:p>
    <w:p w:rsidR="008B5985" w:rsidRPr="00754EDB" w:rsidRDefault="008B5985" w:rsidP="00351B5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James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K.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Exploring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the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Origins</w:t>
      </w:r>
      <w:proofErr w:type="spellEnd"/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an</w:t>
      </w:r>
      <w:r w:rsidR="00E44602">
        <w:rPr>
          <w:rFonts w:ascii="Times New Roman" w:hAnsi="Times New Roman" w:cs="Times New Roman"/>
          <w:sz w:val="20"/>
          <w:szCs w:val="20"/>
          <w:lang w:val="uk-UA"/>
        </w:rPr>
        <w:t>d</w:t>
      </w:r>
      <w:proofErr w:type="spellEnd"/>
      <w:r w:rsidR="00E4460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E44602">
        <w:rPr>
          <w:rFonts w:ascii="Times New Roman" w:hAnsi="Times New Roman" w:cs="Times New Roman"/>
          <w:sz w:val="20"/>
          <w:szCs w:val="20"/>
          <w:lang w:val="uk-UA"/>
        </w:rPr>
        <w:t>Global</w:t>
      </w:r>
      <w:proofErr w:type="spellEnd"/>
      <w:r w:rsidR="00E4460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E44602">
        <w:rPr>
          <w:rFonts w:ascii="Times New Roman" w:hAnsi="Times New Roman" w:cs="Times New Roman"/>
          <w:sz w:val="20"/>
          <w:szCs w:val="20"/>
          <w:lang w:val="uk-UA"/>
        </w:rPr>
        <w:t>Rise</w:t>
      </w:r>
      <w:proofErr w:type="spellEnd"/>
      <w:r w:rsidR="00E4460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E44602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="00E44602">
        <w:rPr>
          <w:rFonts w:ascii="Times New Roman" w:hAnsi="Times New Roman" w:cs="Times New Roman"/>
          <w:sz w:val="20"/>
          <w:szCs w:val="20"/>
          <w:lang w:val="uk-UA"/>
        </w:rPr>
        <w:t xml:space="preserve"> VAT. – 2011.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[Електронний ресурс]. – Режим доступу: </w:t>
      </w:r>
      <w:hyperlink r:id="rId8" w:history="1">
        <w:r w:rsidR="00351B5C" w:rsidRPr="0084760F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http://www.taxanalysts.com/</w:t>
        </w:r>
      </w:hyperlink>
    </w:p>
    <w:p w:rsidR="00520E4F" w:rsidRPr="00754EDB" w:rsidRDefault="008B5985" w:rsidP="00351B5C">
      <w:pPr>
        <w:spacing w:after="0" w:line="240" w:lineRule="auto"/>
        <w:ind w:right="-1"/>
        <w:jc w:val="both"/>
        <w:rPr>
          <w:rStyle w:val="a5"/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proofErr w:type="spellStart"/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Братушка</w:t>
      </w:r>
      <w:proofErr w:type="spellEnd"/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Е.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С.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Генеза</w:t>
      </w:r>
      <w:proofErr w:type="spellEnd"/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податку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додану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вартість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Україні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світі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Е.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С.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Братушка</w:t>
      </w:r>
      <w:proofErr w:type="spellEnd"/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Є.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В.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Кононець</w:t>
      </w:r>
      <w:proofErr w:type="spellEnd"/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//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Ефективна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економіка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Дніпропетровськ,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2014.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20E4F" w:rsidRPr="00754EDB">
        <w:rPr>
          <w:rFonts w:ascii="Times New Roman" w:hAnsi="Times New Roman" w:cs="Times New Roman"/>
          <w:sz w:val="20"/>
          <w:szCs w:val="20"/>
          <w:lang w:val="uk-UA"/>
        </w:rPr>
        <w:t>4.</w:t>
      </w:r>
      <w:r w:rsidR="007674B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674BE" w:rsidRPr="00754EDB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7674BE" w:rsidRPr="00754EDB">
        <w:rPr>
          <w:rFonts w:ascii="Times New Roman" w:hAnsi="Times New Roman" w:cs="Times New Roman"/>
          <w:sz w:val="20"/>
          <w:szCs w:val="20"/>
        </w:rPr>
        <w:t>Електронний</w:t>
      </w:r>
      <w:proofErr w:type="spellEnd"/>
      <w:r w:rsidR="007674BE" w:rsidRPr="00754EDB">
        <w:rPr>
          <w:rFonts w:ascii="Times New Roman" w:hAnsi="Times New Roman" w:cs="Times New Roman"/>
          <w:sz w:val="20"/>
          <w:szCs w:val="20"/>
        </w:rPr>
        <w:t xml:space="preserve"> ресурс] – Режим доступу:</w:t>
      </w:r>
      <w:r w:rsidR="007674B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9" w:history="1">
        <w:r w:rsidR="007674BE" w:rsidRPr="00754EDB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http://www.economy.nayka.com.ua/?op=1&amp;z=2959</w:t>
        </w:r>
      </w:hyperlink>
    </w:p>
    <w:p w:rsidR="008B5985" w:rsidRPr="00754EDB" w:rsidRDefault="008B5985" w:rsidP="00351B5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4. Таблиці податкових ставок / Країни ЄС / </w:t>
      </w:r>
      <w:proofErr w:type="spellStart"/>
      <w:r w:rsidRPr="00754EDB">
        <w:rPr>
          <w:rFonts w:ascii="Times New Roman" w:hAnsi="Times New Roman" w:cs="Times New Roman"/>
          <w:sz w:val="20"/>
          <w:szCs w:val="20"/>
          <w:lang w:val="uk-UA"/>
        </w:rPr>
        <w:t>Вік</w:t>
      </w:r>
      <w:r w:rsidR="00E44602">
        <w:rPr>
          <w:rFonts w:ascii="Times New Roman" w:hAnsi="Times New Roman" w:cs="Times New Roman"/>
          <w:sz w:val="20"/>
          <w:szCs w:val="20"/>
          <w:lang w:val="uk-UA"/>
        </w:rPr>
        <w:t>ідепія</w:t>
      </w:r>
      <w:proofErr w:type="spellEnd"/>
      <w:r w:rsidR="00E44602">
        <w:rPr>
          <w:rFonts w:ascii="Times New Roman" w:hAnsi="Times New Roman" w:cs="Times New Roman"/>
          <w:sz w:val="20"/>
          <w:szCs w:val="20"/>
          <w:lang w:val="uk-UA"/>
        </w:rPr>
        <w:t xml:space="preserve"> – вільна енциклопедія. </w:t>
      </w: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[Електронний ресурс]. – Режим доступу: </w:t>
      </w:r>
      <w:hyperlink r:id="rId10" w:history="1">
        <w:r w:rsidRPr="00754EDB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https://uk.wikipedia.org/wiki/</w:t>
        </w:r>
      </w:hyperlink>
    </w:p>
    <w:p w:rsidR="00F956DF" w:rsidRPr="00754EDB" w:rsidRDefault="008B5985" w:rsidP="00351B5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5.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Карпенко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С.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П.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Оподаткування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доданої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вартості: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європейський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досвід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українські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реалії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С.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П.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Карпенко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//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Ефективна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економіка.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2014.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56DF" w:rsidRPr="00754EDB">
        <w:rPr>
          <w:rFonts w:ascii="Times New Roman" w:hAnsi="Times New Roman" w:cs="Times New Roman"/>
          <w:sz w:val="20"/>
          <w:szCs w:val="20"/>
          <w:lang w:val="uk-UA"/>
        </w:rPr>
        <w:t>12.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F23AE" w:rsidRPr="00754EDB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="000F23AE" w:rsidRPr="00754EDB">
        <w:rPr>
          <w:rFonts w:ascii="Times New Roman" w:hAnsi="Times New Roman" w:cs="Times New Roman"/>
          <w:sz w:val="20"/>
          <w:szCs w:val="20"/>
        </w:rPr>
        <w:t>Електронний</w:t>
      </w:r>
      <w:proofErr w:type="spellEnd"/>
      <w:r w:rsidR="000F23AE" w:rsidRPr="00754EDB">
        <w:rPr>
          <w:rFonts w:ascii="Times New Roman" w:hAnsi="Times New Roman" w:cs="Times New Roman"/>
          <w:sz w:val="20"/>
          <w:szCs w:val="20"/>
        </w:rPr>
        <w:t xml:space="preserve"> ресурс] – Режим доступу:</w:t>
      </w:r>
      <w:r w:rsidR="000F23AE" w:rsidRPr="00754ED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11" w:history="1">
        <w:r w:rsidR="007674BE" w:rsidRPr="00754EDB">
          <w:rPr>
            <w:rStyle w:val="a5"/>
            <w:rFonts w:ascii="Times New Roman" w:hAnsi="Times New Roman" w:cs="Times New Roman"/>
            <w:sz w:val="20"/>
            <w:szCs w:val="20"/>
            <w:lang w:val="uk-UA"/>
          </w:rPr>
          <w:t>http://www.economy.nayka.com.ua/?op=1&amp;z=3650</w:t>
        </w:r>
      </w:hyperlink>
    </w:p>
    <w:p w:rsidR="008B45A2" w:rsidRPr="00754EDB" w:rsidRDefault="008B45A2" w:rsidP="00754ED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8B45A2" w:rsidRPr="00754EDB" w:rsidSect="005B3868">
      <w:headerReference w:type="default" r:id="rId12"/>
      <w:pgSz w:w="11906" w:h="16838"/>
      <w:pgMar w:top="1134" w:right="1134" w:bottom="1134" w:left="1134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F3" w:rsidRDefault="007E2FF3" w:rsidP="00FF4404">
      <w:pPr>
        <w:spacing w:after="0" w:line="240" w:lineRule="auto"/>
      </w:pPr>
      <w:r>
        <w:separator/>
      </w:r>
    </w:p>
  </w:endnote>
  <w:endnote w:type="continuationSeparator" w:id="0">
    <w:p w:rsidR="007E2FF3" w:rsidRDefault="007E2FF3" w:rsidP="00FF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F3" w:rsidRDefault="007E2FF3" w:rsidP="00FF4404">
      <w:pPr>
        <w:spacing w:after="0" w:line="240" w:lineRule="auto"/>
      </w:pPr>
      <w:r>
        <w:separator/>
      </w:r>
    </w:p>
  </w:footnote>
  <w:footnote w:type="continuationSeparator" w:id="0">
    <w:p w:rsidR="007E2FF3" w:rsidRDefault="007E2FF3" w:rsidP="00FF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AE" w:rsidRDefault="000F23AE">
    <w:pPr>
      <w:pStyle w:val="a6"/>
      <w:jc w:val="right"/>
    </w:pPr>
  </w:p>
  <w:p w:rsidR="000F23AE" w:rsidRDefault="000F2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912"/>
    <w:multiLevelType w:val="hybridMultilevel"/>
    <w:tmpl w:val="ED18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4DFD"/>
    <w:multiLevelType w:val="hybridMultilevel"/>
    <w:tmpl w:val="2AE4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83F"/>
    <w:rsid w:val="000033C7"/>
    <w:rsid w:val="00036D88"/>
    <w:rsid w:val="000445B7"/>
    <w:rsid w:val="000F23AE"/>
    <w:rsid w:val="00134B6D"/>
    <w:rsid w:val="001366A3"/>
    <w:rsid w:val="0022041C"/>
    <w:rsid w:val="00300011"/>
    <w:rsid w:val="00350840"/>
    <w:rsid w:val="00351B5C"/>
    <w:rsid w:val="003A42C5"/>
    <w:rsid w:val="00520E4F"/>
    <w:rsid w:val="00561181"/>
    <w:rsid w:val="005B3868"/>
    <w:rsid w:val="005C42CB"/>
    <w:rsid w:val="005D7A21"/>
    <w:rsid w:val="006237AF"/>
    <w:rsid w:val="006D0A7F"/>
    <w:rsid w:val="00754EDB"/>
    <w:rsid w:val="007674BE"/>
    <w:rsid w:val="007E2FF3"/>
    <w:rsid w:val="00810269"/>
    <w:rsid w:val="008B45A2"/>
    <w:rsid w:val="008B5985"/>
    <w:rsid w:val="008F0BD3"/>
    <w:rsid w:val="009252BA"/>
    <w:rsid w:val="00AB183F"/>
    <w:rsid w:val="00B33DC4"/>
    <w:rsid w:val="00C63F1F"/>
    <w:rsid w:val="00D30BAD"/>
    <w:rsid w:val="00D33F09"/>
    <w:rsid w:val="00E24056"/>
    <w:rsid w:val="00E44602"/>
    <w:rsid w:val="00E72E90"/>
    <w:rsid w:val="00E8126E"/>
    <w:rsid w:val="00F956DF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21"/>
    <w:pPr>
      <w:ind w:left="720"/>
      <w:contextualSpacing/>
    </w:pPr>
  </w:style>
  <w:style w:type="table" w:styleId="a4">
    <w:name w:val="Table Grid"/>
    <w:basedOn w:val="a1"/>
    <w:uiPriority w:val="59"/>
    <w:rsid w:val="0056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45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404"/>
  </w:style>
  <w:style w:type="paragraph" w:styleId="a8">
    <w:name w:val="footer"/>
    <w:basedOn w:val="a"/>
    <w:link w:val="a9"/>
    <w:uiPriority w:val="99"/>
    <w:unhideWhenUsed/>
    <w:rsid w:val="00FF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404"/>
  </w:style>
  <w:style w:type="paragraph" w:styleId="aa">
    <w:name w:val="Balloon Text"/>
    <w:basedOn w:val="a"/>
    <w:link w:val="ab"/>
    <w:uiPriority w:val="99"/>
    <w:semiHidden/>
    <w:unhideWhenUsed/>
    <w:rsid w:val="003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2C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237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analyst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?op=1&amp;z=36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?op=1&amp;z=29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User</cp:lastModifiedBy>
  <cp:revision>15</cp:revision>
  <cp:lastPrinted>2017-04-14T06:14:00Z</cp:lastPrinted>
  <dcterms:created xsi:type="dcterms:W3CDTF">2017-04-03T17:44:00Z</dcterms:created>
  <dcterms:modified xsi:type="dcterms:W3CDTF">2017-05-03T17:10:00Z</dcterms:modified>
</cp:coreProperties>
</file>