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A8" w:rsidRPr="003E0F7B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0F7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Барабаш А.Г.,</w:t>
      </w:r>
      <w:r w:rsidRPr="003E0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F7B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3E0F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E0F7B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3E0F7B">
        <w:rPr>
          <w:rFonts w:ascii="Times New Roman" w:hAnsi="Times New Roman" w:cs="Times New Roman"/>
          <w:sz w:val="28"/>
          <w:szCs w:val="28"/>
          <w:lang w:val="uk-UA"/>
        </w:rPr>
        <w:t>. наук, доцент</w:t>
      </w:r>
    </w:p>
    <w:p w:rsidR="00625EA8" w:rsidRPr="003E0F7B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F7B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публічного та приватного права </w:t>
      </w:r>
    </w:p>
    <w:p w:rsidR="00625EA8" w:rsidRPr="003E0F7B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Новомлинець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</w:t>
      </w:r>
      <w:r w:rsidRPr="003E0F7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О.</w:t>
      </w:r>
      <w:r w:rsidRPr="003E0F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3E0F7B">
        <w:rPr>
          <w:rFonts w:ascii="Times New Roman" w:hAnsi="Times New Roman" w:cs="Times New Roman"/>
          <w:sz w:val="28"/>
          <w:szCs w:val="28"/>
          <w:lang w:val="uk-UA"/>
        </w:rPr>
        <w:t>студентка юридичного факультету</w:t>
      </w:r>
    </w:p>
    <w:p w:rsidR="00625EA8" w:rsidRPr="003E0F7B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F7B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КЮ-</w:t>
      </w:r>
      <w:r w:rsidR="006E59D4" w:rsidRPr="006E59D4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625EA8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F7B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«Чернігівська політехніка»</w:t>
      </w:r>
    </w:p>
    <w:p w:rsidR="00625EA8" w:rsidRPr="003E0F7B" w:rsidRDefault="00625EA8" w:rsidP="00CA48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5EA8" w:rsidRPr="00752DB4" w:rsidRDefault="00625EA8" w:rsidP="00254E11">
      <w:pPr>
        <w:spacing w:line="23" w:lineRule="atLeast"/>
        <w:ind w:left="4536"/>
        <w:rPr>
          <w:rFonts w:ascii="Times New Roman" w:hAnsi="Times New Roman" w:cs="Times New Roman"/>
          <w:lang w:val="uk-UA"/>
        </w:rPr>
      </w:pPr>
    </w:p>
    <w:p w:rsidR="00372ED8" w:rsidRDefault="00372ED8" w:rsidP="000B26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ПРАВОВЕ РЕГУЛЮВАННЯ</w:t>
      </w:r>
      <w:r w:rsidR="00625EA8" w:rsidRPr="00752D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ЕКОЛОГІЧНОЇ БЕЗПЕКИ</w:t>
      </w:r>
      <w:r w:rsidR="00625E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5EA8" w:rsidRPr="00752DB4" w:rsidRDefault="00625EA8" w:rsidP="000B26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 ЧАС ВОЄННОГО СТАНУ</w:t>
      </w:r>
    </w:p>
    <w:p w:rsidR="00625EA8" w:rsidRPr="00C5508D" w:rsidRDefault="00625EA8" w:rsidP="000B26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5508D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ст. 16 Конституції України держава зобов’язана забезпечувати екологічну безпеку та екологічну рівновагу на своїй території. На жаль,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стану, постійних воєнних дій держава не має можливості виконувати цей конституційний припис. </w:t>
      </w:r>
    </w:p>
    <w:p w:rsidR="00625EA8" w:rsidRPr="00E504EB" w:rsidRDefault="00625EA8" w:rsidP="00254E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з ч. 2 ст. 20 Закону України «Про правовий режим воєнного стану» від 12 травня 2015 року</w:t>
      </w:r>
      <w:r w:rsidRPr="002721A5">
        <w:t xml:space="preserve"> </w:t>
      </w:r>
      <w:r w:rsidRPr="00E504EB">
        <w:rPr>
          <w:rFonts w:ascii="Times New Roman" w:hAnsi="Times New Roman" w:cs="Times New Roman"/>
          <w:sz w:val="28"/>
          <w:szCs w:val="28"/>
          <w:lang w:val="uk-UA"/>
        </w:rPr>
        <w:t>існує низка прав та свобод людин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які не можуть бути обмежені, навіть, в умовах воєнного стану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Право громадянина на безпечне довкілля до цього переліку не входить. </w:t>
      </w:r>
    </w:p>
    <w:p w:rsidR="00625EA8" w:rsidRDefault="00625EA8" w:rsidP="00254E1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4E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даного дослідження є аналіз законодавства України та міжнародних актів 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Pr="00254E1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екологічної безпеки під час війни.</w:t>
      </w:r>
    </w:p>
    <w:p w:rsidR="00625EA8" w:rsidRPr="00AC05F8" w:rsidRDefault="00625EA8" w:rsidP="00AC05F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екологічної безпеки визначено у ст. 50 Закону України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«Про охорону навколишнього природного середовища»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25 червня 1991 року. Згідно статті Закону,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екологічна безпека це такий стан навколишнього природного середовища, при якому забезпечується попередження погіршення екологічної обстановки та виникнення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небезпеки для здоров'я людей [2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]. В свою чергу науковець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Одарченко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М.С. та його колеги визначають екологічну безпеку в широкому значенні як стан захищеності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інтересів і потреб особи, суспільства, держави, людства в цілому, від несприятливого впливу навколишнього середовища, зумовленого природними (біотичними та абіотичними), а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 антропогенними факторами [3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, с.144]. </w:t>
      </w:r>
    </w:p>
    <w:p w:rsidR="00625EA8" w:rsidRPr="00254E11" w:rsidRDefault="00625EA8" w:rsidP="006760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зазначає вчений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Кардаш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Д.М., перші наукові дослідження щодо нищівного впливу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віи</w:t>
      </w:r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ськових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діи</w:t>
      </w:r>
      <w:proofErr w:type="spellEnd"/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на навколишнє середовище були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представленні в кінці 60-х на початку 70-х років минул</w:t>
      </w:r>
      <w:r>
        <w:rPr>
          <w:rFonts w:ascii="Times New Roman" w:hAnsi="Times New Roman" w:cs="Times New Roman"/>
          <w:sz w:val="28"/>
          <w:szCs w:val="28"/>
          <w:lang w:val="uk-UA"/>
        </w:rPr>
        <w:t>ого століття. З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нищення природи у В’єтнамі, Лаосі, Камбоджі започаткували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новии</w:t>
      </w:r>
      <w:proofErr w:type="spellEnd"/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термін «екоцид»,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якии</w:t>
      </w:r>
      <w:proofErr w:type="spellEnd"/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змістов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наближении</w:t>
      </w:r>
      <w:proofErr w:type="spellEnd"/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до поняття «геноцид». Наукове пояснення терміну полягає в тому, що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віи</w:t>
      </w:r>
      <w:r w:rsidRPr="00254E11">
        <w:rPr>
          <w:rFonts w:ascii="Tahoma" w:hAnsi="Tahoma" w:cs="Tahoma"/>
          <w:sz w:val="28"/>
          <w:szCs w:val="28"/>
          <w:lang w:val="uk-UA"/>
        </w:rPr>
        <w:t>̆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ськові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діі</w:t>
      </w:r>
      <w:proofErr w:type="spellEnd"/>
      <w:r w:rsidRPr="00254E11">
        <w:rPr>
          <w:rFonts w:ascii="Tahoma" w:hAnsi="Tahoma" w:cs="Tahoma"/>
          <w:sz w:val="28"/>
          <w:szCs w:val="28"/>
          <w:lang w:val="uk-UA"/>
        </w:rPr>
        <w:t>̈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засобів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сового ураження, призвели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зворотніх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наслідків для всіх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 життя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ціи</w:t>
      </w:r>
      <w:proofErr w:type="spellEnd"/>
      <w:r>
        <w:rPr>
          <w:rFonts w:ascii="Tahoma" w:hAnsi="Tahoma" w:cs="Tahoma"/>
          <w:sz w:val="28"/>
          <w:szCs w:val="28"/>
          <w:lang w:val="uk-UA"/>
        </w:rPr>
        <w:t>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територіі</w:t>
      </w:r>
      <w:proofErr w:type="spellEnd"/>
      <w:r>
        <w:rPr>
          <w:rFonts w:ascii="Tahoma" w:hAnsi="Tahoma" w:cs="Tahoma"/>
          <w:sz w:val="28"/>
          <w:szCs w:val="28"/>
          <w:lang w:val="uk-UA"/>
        </w:rPr>
        <w:t>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[4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, с.79].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зі ст. 441 Кримінального кодексу України екоцид – це злочин, який полягає у масовому знищенні рослинного або тваринного світу, отруєнні атмосфери або водних ресурсів, а також вчиненні інших дій, що можуть спричинити екологічну катастрофу.</w:t>
      </w:r>
    </w:p>
    <w:p w:rsidR="00625EA8" w:rsidRDefault="00625EA8" w:rsidP="00546D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Злочини проти довкілля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є частиною воєнних злочинів. </w:t>
      </w:r>
      <w:r w:rsidRPr="00497F9D">
        <w:rPr>
          <w:rFonts w:ascii="Times New Roman" w:hAnsi="Times New Roman" w:cs="Times New Roman"/>
          <w:sz w:val="28"/>
          <w:szCs w:val="28"/>
          <w:lang w:val="uk-UA"/>
        </w:rPr>
        <w:t xml:space="preserve">Гаазька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97F9D">
        <w:rPr>
          <w:rFonts w:ascii="Times New Roman" w:hAnsi="Times New Roman" w:cs="Times New Roman"/>
          <w:sz w:val="28"/>
          <w:szCs w:val="28"/>
          <w:lang w:val="uk-UA"/>
        </w:rPr>
        <w:t>онвенція про закони та звичаї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суходолі від 18 жовтня 1907 року містить положення щодо збереження </w:t>
      </w:r>
      <w:r w:rsidRPr="00247C71">
        <w:rPr>
          <w:rFonts w:ascii="Times New Roman" w:hAnsi="Times New Roman" w:cs="Times New Roman"/>
          <w:sz w:val="28"/>
          <w:szCs w:val="28"/>
          <w:lang w:val="uk-UA"/>
        </w:rPr>
        <w:t>лісів та сільськогосподарських угідь</w:t>
      </w:r>
      <w:r>
        <w:rPr>
          <w:rFonts w:ascii="Times New Roman" w:hAnsi="Times New Roman" w:cs="Times New Roman"/>
          <w:sz w:val="28"/>
          <w:szCs w:val="28"/>
          <w:lang w:val="uk-UA"/>
        </w:rPr>
        <w:t>. У статті 55 Конвенції зазначається, що д</w:t>
      </w:r>
      <w:r w:rsidRPr="00247C71">
        <w:rPr>
          <w:rFonts w:ascii="Times New Roman" w:hAnsi="Times New Roman" w:cs="Times New Roman"/>
          <w:sz w:val="28"/>
          <w:szCs w:val="28"/>
          <w:lang w:val="uk-UA"/>
        </w:rPr>
        <w:t xml:space="preserve">ержава-окупант розглядається лише як управляючий і </w:t>
      </w:r>
      <w:proofErr w:type="spellStart"/>
      <w:r w:rsidRPr="00247C71">
        <w:rPr>
          <w:rFonts w:ascii="Times New Roman" w:hAnsi="Times New Roman" w:cs="Times New Roman"/>
          <w:sz w:val="28"/>
          <w:szCs w:val="28"/>
          <w:lang w:val="uk-UA"/>
        </w:rPr>
        <w:t>узуфруктуарій</w:t>
      </w:r>
      <w:proofErr w:type="spellEnd"/>
      <w:r w:rsidRPr="00247C7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будівель, нерухомості, лісів та сільськогосподарських угідь, які належать державі-супротивнику і знаходяться на окупованій території. Держава-окупант повинна зберігати капітальну цінність цих майнових об'єктів і управляти ними згідно з правилами </w:t>
      </w:r>
      <w:proofErr w:type="spellStart"/>
      <w:r w:rsidRPr="00247C71">
        <w:rPr>
          <w:rFonts w:ascii="Times New Roman" w:hAnsi="Times New Roman" w:cs="Times New Roman"/>
          <w:sz w:val="28"/>
          <w:szCs w:val="28"/>
          <w:lang w:val="uk-UA"/>
        </w:rPr>
        <w:t>узуфрукту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25EA8" w:rsidRDefault="00625EA8" w:rsidP="00254E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ч. 3 ст. 35 Додаткового протоколу до Женевських конвенцій від 12 серпня 1949 року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, заборонено застосовувати методи або засоби ведення воєнних дій, які мають на меті завдати або, як можна очікувати, </w:t>
      </w:r>
      <w:proofErr w:type="spellStart"/>
      <w:r w:rsidRPr="00254E11">
        <w:rPr>
          <w:rFonts w:ascii="Times New Roman" w:hAnsi="Times New Roman" w:cs="Times New Roman"/>
          <w:sz w:val="28"/>
          <w:szCs w:val="28"/>
          <w:lang w:val="uk-UA"/>
        </w:rPr>
        <w:t>завдадуть</w:t>
      </w:r>
      <w:proofErr w:type="spellEnd"/>
      <w:r w:rsidRPr="00254E11">
        <w:rPr>
          <w:rFonts w:ascii="Times New Roman" w:hAnsi="Times New Roman" w:cs="Times New Roman"/>
          <w:sz w:val="28"/>
          <w:szCs w:val="28"/>
          <w:lang w:val="uk-UA"/>
        </w:rPr>
        <w:t xml:space="preserve"> широкої, довгочасної і серйозно</w:t>
      </w:r>
      <w:r>
        <w:rPr>
          <w:rFonts w:ascii="Times New Roman" w:hAnsi="Times New Roman" w:cs="Times New Roman"/>
          <w:sz w:val="28"/>
          <w:szCs w:val="28"/>
          <w:lang w:val="uk-UA"/>
        </w:rPr>
        <w:t>ї шкоди природному середовищу [6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EA8" w:rsidRDefault="00625EA8" w:rsidP="0093637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Ріо-де-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Женейрська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декларація про навколишнє середовище, що була прийнята Конференцією ООН про навколишнє середовище і розвиток 3-14 червня 1992 року, також містить положення про негативний вплив військових дій на навколишнє середовище. У принципі 23 йдеться про те, що навколишнє середовище і природні ресурси народів, які живуть в умовах гноблення, панування та окупації, повинні бути захищені. 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принципі 24 зазначено, що війна неминуче завдає руйнівного</w:t>
      </w:r>
      <w:r w:rsidRPr="009F2157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2157">
        <w:rPr>
          <w:rFonts w:ascii="Times New Roman" w:hAnsi="Times New Roman" w:cs="Times New Roman"/>
          <w:sz w:val="28"/>
          <w:szCs w:val="28"/>
          <w:lang w:val="uk-UA"/>
        </w:rPr>
        <w:t xml:space="preserve"> на процес сталого розвитку. Тому держави повинні поважати міжнародне право, що забезпечує захист навколишнього середовища під час збройних конфліктів, та мають співпрацювати, за необхідності, у справі його подальшого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25EA8" w:rsidRPr="00965CD5" w:rsidRDefault="00625EA8" w:rsidP="00F400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97F9D">
        <w:rPr>
          <w:rFonts w:ascii="Times New Roman" w:hAnsi="Times New Roman" w:cs="Times New Roman"/>
          <w:sz w:val="28"/>
          <w:szCs w:val="28"/>
          <w:lang w:val="uk-UA"/>
        </w:rPr>
        <w:t xml:space="preserve">Російська федерація неодноразово погрожувала Україні та світу застосуванням ядерної зброї, її військові незаконно перебували на території Чорнобильської АЕС, продовжують перебувати на території Запорізької АЕС. </w:t>
      </w:r>
      <w:r w:rsidRPr="0093637E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ядерної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ядерну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1994 року у м.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Відень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Австрія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662C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363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ядерних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установках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потенційної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ядерної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шкідливого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іонізуючого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відвернення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радіологічними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країни-агресорки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електростанції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їх агресивна поведінка щодо працівників атомної електростанції</w:t>
      </w:r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провокує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агентством з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з Договором про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нерозповсюдження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ядерної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21 вересня 1995 року,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агентство</w:t>
      </w:r>
      <w:r w:rsidRPr="009363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(МЕГАТЕ) здійснило та продовжує здійснювати перевірку ситуації на території атомних електростанцій України. </w:t>
      </w:r>
    </w:p>
    <w:p w:rsidR="00625EA8" w:rsidRPr="00497F9D" w:rsidRDefault="00625EA8" w:rsidP="00CA48D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Паризька угода, прийнята в межах </w:t>
      </w:r>
      <w:hyperlink r:id="rId4" w:tooltip="Рамкова конвенція ООН про зміну клімату" w:history="1">
        <w:proofErr w:type="spellStart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Рамкової</w:t>
        </w:r>
        <w:proofErr w:type="spellEnd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конвенції</w:t>
        </w:r>
        <w:proofErr w:type="spellEnd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ООН про </w:t>
        </w:r>
        <w:proofErr w:type="spellStart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зміну</w:t>
        </w:r>
        <w:proofErr w:type="spellEnd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B2751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клімату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підписана Україною 22 квітня 2016 року, не містить прямих положень про заборону тих чи інших видів військових дій через їх вплив на кліматичні умови 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Однак, екологи в своїх дослідженнях неодноразово зазначали, що бойові дії негативно впливають на зміну клімату. Це, насамперед, відбувається, через викид в атмосферу газів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важкої воєнної техніки та </w:t>
      </w:r>
      <w:r w:rsidRPr="007C42A2">
        <w:rPr>
          <w:rFonts w:ascii="Times New Roman" w:hAnsi="Times New Roman" w:cs="Times New Roman"/>
          <w:sz w:val="28"/>
          <w:szCs w:val="28"/>
          <w:lang w:val="uk-UA"/>
        </w:rPr>
        <w:t>продукт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C42A2">
        <w:rPr>
          <w:rFonts w:ascii="Times New Roman" w:hAnsi="Times New Roman" w:cs="Times New Roman"/>
          <w:sz w:val="28"/>
          <w:szCs w:val="28"/>
          <w:lang w:val="uk-UA"/>
        </w:rPr>
        <w:t xml:space="preserve"> детонації ракет і артилерійських снарядів</w:t>
      </w:r>
      <w:r w:rsidRPr="00254E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EA8" w:rsidRDefault="00625EA8" w:rsidP="007C42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вищенаведене, можемо зазначити, що питання екологічної безпеки є більш врегульованим на рівні міжнародних актів, а ніж національних актів України. Оскільки Україна ратифікувала відповідні міжнародні акти, вони вважаються частиною законодавства України. Ми не вбачаємо потреби у дублюванні міжнародних норм вітчизняним законодавством, але можемо констатувати необхідність розроблення організаційно-правових механізмів, направлених на гарантії дотримання екологічної безпеки під час воєнних дій.  </w:t>
      </w:r>
    </w:p>
    <w:p w:rsidR="00625EA8" w:rsidRDefault="00625EA8" w:rsidP="007C42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5EA8" w:rsidRDefault="00625EA8" w:rsidP="004C1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</w:p>
    <w:p w:rsidR="00625EA8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6FF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правовий режим воєнного стану: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 України від 12.05.2015 р. №389-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6FFE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DB6FFE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5" w:anchor="Text" w:history="1">
        <w:r w:rsidRPr="000B260F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/>
          </w:rPr>
          <w:t>https://zakon.rada.gov.ua/laws/show/389-19#Text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6FFE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(дата звернення: 05.11.2022).</w:t>
      </w:r>
    </w:p>
    <w:p w:rsidR="00625EA8" w:rsidRPr="00DB6FFE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DB6FFE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навколишнього природного середовища: Закон України від 25.06.1991 р. №1264-ХІІ. </w:t>
      </w:r>
      <w:r w:rsidRPr="00DB6FF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B6F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DB6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Text" w:history="1">
        <w:r w:rsidRPr="00DB6FF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https://zakon.rada.gov.ua/laws/show/1264-12#Text</w:t>
        </w:r>
      </w:hyperlink>
      <w:r w:rsidRPr="00DB6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(дата звернення: 05.11.2022).</w:t>
      </w:r>
    </w:p>
    <w:p w:rsidR="00625EA8" w:rsidRPr="008B56C9" w:rsidRDefault="00625EA8" w:rsidP="00CD33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>Одарченко М.С.,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6C9">
        <w:rPr>
          <w:rFonts w:ascii="Times New Roman" w:hAnsi="Times New Roman" w:cs="Times New Roman"/>
          <w:sz w:val="28"/>
          <w:szCs w:val="28"/>
          <w:lang w:val="uk-UA"/>
        </w:rPr>
        <w:t>Одарченко</w:t>
      </w:r>
      <w:proofErr w:type="spellEnd"/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 Д.М.,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6C9">
        <w:rPr>
          <w:rFonts w:ascii="Times New Roman" w:hAnsi="Times New Roman" w:cs="Times New Roman"/>
          <w:sz w:val="28"/>
          <w:szCs w:val="28"/>
          <w:lang w:val="uk-UA"/>
        </w:rPr>
        <w:t>Сесь</w:t>
      </w:r>
      <w:proofErr w:type="spellEnd"/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 А.М.,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6C9">
        <w:rPr>
          <w:rFonts w:ascii="Times New Roman" w:hAnsi="Times New Roman" w:cs="Times New Roman"/>
          <w:sz w:val="28"/>
          <w:szCs w:val="28"/>
          <w:lang w:val="uk-UA"/>
        </w:rPr>
        <w:t>Сюсель</w:t>
      </w:r>
      <w:proofErr w:type="spellEnd"/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 О.О.,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Соколова Є.Б., Екологічна безпека як основа національної безпеки України. </w:t>
      </w:r>
      <w:r w:rsidRPr="008B56C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Науковий вісник Полтавського університету економіки і торгівлі. 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>№1 (52). 2011. С.144-146.</w:t>
      </w:r>
    </w:p>
    <w:p w:rsidR="00625EA8" w:rsidRPr="008B56C9" w:rsidRDefault="00625EA8" w:rsidP="00CD33A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>Кардаш Д.М. Наслідки впливу військових дій на навколишнє середовище</w:t>
      </w:r>
      <w:r w:rsidRPr="008B56C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Екологічні наслідки військових дій: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наук.-</w:t>
      </w:r>
      <w:proofErr w:type="spellStart"/>
      <w:r w:rsidRPr="008B56C9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B56C9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8B56C9">
        <w:rPr>
          <w:rFonts w:ascii="Times New Roman" w:hAnsi="Times New Roman" w:cs="Times New Roman"/>
          <w:sz w:val="28"/>
          <w:szCs w:val="28"/>
          <w:lang w:val="uk-UA"/>
        </w:rPr>
        <w:t>.,(Київ, 17-18 квітня 2018 р.). Київ, 2018. С.79-81.</w:t>
      </w:r>
    </w:p>
    <w:p w:rsidR="00625EA8" w:rsidRPr="00FD3C36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E5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IV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Конвенція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звичаї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суходолі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звичаї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</w:rPr>
        <w:t>суходолі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18.10.1907 р.</w:t>
      </w:r>
      <w:r w:rsidRPr="00FD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FD3C36">
        <w:rPr>
          <w:color w:val="000000"/>
        </w:rPr>
        <w:t xml:space="preserve"> </w:t>
      </w:r>
      <w:hyperlink r:id="rId7" w:anchor="Text" w:history="1">
        <w:r w:rsidRPr="00FD3C3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https://zakon.rada.gov.ua/laws/show/995_222#Text</w:t>
        </w:r>
      </w:hyperlink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(дата звернення: 05.11.2022).</w:t>
      </w:r>
    </w:p>
    <w:p w:rsidR="00625EA8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6.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Додатковий протокол до Женевських конвенцій від 12.08.1949 р.,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стосується захисту жертв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іжнародних збройних конфліктів 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(Протокол I), від 08.06.1977 р.</w:t>
      </w:r>
      <w:r w:rsidRPr="008B5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6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8B56C9">
        <w:rPr>
          <w:rFonts w:ascii="Times New Roman" w:hAnsi="Times New Roman" w:cs="Times New Roman"/>
          <w:color w:val="000000"/>
          <w:sz w:val="28"/>
          <w:szCs w:val="28"/>
        </w:rPr>
        <w:t xml:space="preserve"> https://zakon.rada.gov.ua/laws/show/995_199#Text 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(дата звернення: 05.11.2022).</w:t>
      </w:r>
    </w:p>
    <w:p w:rsidR="00625EA8" w:rsidRPr="002E5752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Ріо-де-</w:t>
      </w:r>
      <w:proofErr w:type="spellStart"/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Женейрська</w:t>
      </w:r>
      <w:proofErr w:type="spellEnd"/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декларація про навколишнє середовище від 16.06.1972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FD3C3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https://www.un.org/ru/documents/decl_conv/declarations/riodecl.shtml</w:t>
        </w:r>
      </w:hyperlink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(дата звернення: 05.11.2022).</w:t>
      </w:r>
    </w:p>
    <w:p w:rsidR="00625EA8" w:rsidRPr="002E5752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яде</w:t>
      </w:r>
      <w:r>
        <w:rPr>
          <w:rFonts w:ascii="Times New Roman" w:hAnsi="Times New Roman" w:cs="Times New Roman"/>
          <w:sz w:val="28"/>
          <w:szCs w:val="28"/>
        </w:rPr>
        <w:t>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17.06.1994 р.</w:t>
      </w:r>
      <w:r w:rsidRPr="0093637E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Відень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637E">
        <w:rPr>
          <w:rFonts w:ascii="Times New Roman" w:hAnsi="Times New Roman" w:cs="Times New Roman"/>
          <w:sz w:val="28"/>
          <w:szCs w:val="28"/>
        </w:rPr>
        <w:t>Австрія</w:t>
      </w:r>
      <w:proofErr w:type="spellEnd"/>
      <w:r w:rsidRPr="00936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anchor="Text" w:history="1">
        <w:r w:rsidRPr="004C11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/>
          </w:rPr>
          <w:t>https://zakon.rada.gov.ua/laws/show/995_023#Text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(дата звернення: 05.11.2022).</w:t>
      </w:r>
    </w:p>
    <w:p w:rsidR="00625EA8" w:rsidRPr="00FD3C36" w:rsidRDefault="00625EA8" w:rsidP="00CD33A4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9.Паризька угода від 12.12.2015 р. 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FD3C36">
        <w:rPr>
          <w:color w:val="000000"/>
        </w:rPr>
        <w:t xml:space="preserve"> </w:t>
      </w:r>
      <w:hyperlink r:id="rId10" w:anchor="Text" w:history="1">
        <w:r w:rsidRPr="00FD3C3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https://zakon.rada.gov.ua/laws/show/995_l61#Text</w:t>
        </w:r>
      </w:hyperlink>
      <w:r w:rsidRPr="00FD3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(дата звернення: 05.11.2022).</w:t>
      </w:r>
    </w:p>
    <w:p w:rsidR="00625EA8" w:rsidRPr="00FD3C36" w:rsidRDefault="00625EA8" w:rsidP="00CD33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5EA8" w:rsidRPr="00FD3C36" w:rsidSect="00D93F3F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11"/>
    <w:rsid w:val="00025CF2"/>
    <w:rsid w:val="00082471"/>
    <w:rsid w:val="000B260F"/>
    <w:rsid w:val="000D2F2B"/>
    <w:rsid w:val="00161541"/>
    <w:rsid w:val="00247C71"/>
    <w:rsid w:val="00254E11"/>
    <w:rsid w:val="002721A5"/>
    <w:rsid w:val="002D6E9D"/>
    <w:rsid w:val="002E5752"/>
    <w:rsid w:val="00372ED8"/>
    <w:rsid w:val="00375086"/>
    <w:rsid w:val="003E0F7B"/>
    <w:rsid w:val="004654B2"/>
    <w:rsid w:val="00497F9D"/>
    <w:rsid w:val="004C10CE"/>
    <w:rsid w:val="004C117E"/>
    <w:rsid w:val="00546D75"/>
    <w:rsid w:val="00550734"/>
    <w:rsid w:val="00597169"/>
    <w:rsid w:val="005D38F9"/>
    <w:rsid w:val="00617BFF"/>
    <w:rsid w:val="00625EA8"/>
    <w:rsid w:val="00662C62"/>
    <w:rsid w:val="006760D6"/>
    <w:rsid w:val="006E59D4"/>
    <w:rsid w:val="00726185"/>
    <w:rsid w:val="00752DB4"/>
    <w:rsid w:val="007908CD"/>
    <w:rsid w:val="007C42A2"/>
    <w:rsid w:val="00847F4D"/>
    <w:rsid w:val="00883792"/>
    <w:rsid w:val="008B484E"/>
    <w:rsid w:val="008B56C9"/>
    <w:rsid w:val="008D5091"/>
    <w:rsid w:val="008F4D74"/>
    <w:rsid w:val="0093637E"/>
    <w:rsid w:val="00965CD5"/>
    <w:rsid w:val="009F2157"/>
    <w:rsid w:val="009F5426"/>
    <w:rsid w:val="00AC05F8"/>
    <w:rsid w:val="00AC3CD5"/>
    <w:rsid w:val="00B012C4"/>
    <w:rsid w:val="00B27514"/>
    <w:rsid w:val="00B5113C"/>
    <w:rsid w:val="00BC57E1"/>
    <w:rsid w:val="00BF203C"/>
    <w:rsid w:val="00C5508D"/>
    <w:rsid w:val="00C57F0A"/>
    <w:rsid w:val="00C615C2"/>
    <w:rsid w:val="00C6618A"/>
    <w:rsid w:val="00CA48D7"/>
    <w:rsid w:val="00CD33A4"/>
    <w:rsid w:val="00CE4042"/>
    <w:rsid w:val="00D42320"/>
    <w:rsid w:val="00D93F3F"/>
    <w:rsid w:val="00DA02BB"/>
    <w:rsid w:val="00DA6941"/>
    <w:rsid w:val="00DB6FFE"/>
    <w:rsid w:val="00DC68D0"/>
    <w:rsid w:val="00DE7954"/>
    <w:rsid w:val="00E504EB"/>
    <w:rsid w:val="00E5637C"/>
    <w:rsid w:val="00ED76EE"/>
    <w:rsid w:val="00F40002"/>
    <w:rsid w:val="00F47945"/>
    <w:rsid w:val="00FA0D3B"/>
    <w:rsid w:val="00FD3C36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AEED0-B95B-4CE0-A2FA-4B4A42C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11"/>
    <w:pPr>
      <w:jc w:val="both"/>
    </w:pPr>
    <w:rPr>
      <w:rFonts w:cs="Calibri"/>
      <w:sz w:val="24"/>
      <w:szCs w:val="24"/>
      <w:lang w:val="ru-RU"/>
    </w:rPr>
  </w:style>
  <w:style w:type="paragraph" w:styleId="1">
    <w:name w:val="heading 1"/>
    <w:basedOn w:val="a"/>
    <w:link w:val="10"/>
    <w:uiPriority w:val="99"/>
    <w:qFormat/>
    <w:rsid w:val="0093637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637E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11">
    <w:name w:val="toc 1"/>
    <w:basedOn w:val="a"/>
    <w:next w:val="a"/>
    <w:autoRedefine/>
    <w:uiPriority w:val="99"/>
    <w:semiHidden/>
    <w:rsid w:val="004654B2"/>
    <w:pPr>
      <w:spacing w:before="120" w:line="259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3">
    <w:name w:val="Hyperlink"/>
    <w:uiPriority w:val="99"/>
    <w:rsid w:val="00254E11"/>
    <w:rPr>
      <w:color w:val="auto"/>
      <w:u w:val="single"/>
    </w:rPr>
  </w:style>
  <w:style w:type="character" w:customStyle="1" w:styleId="UnresolvedMention">
    <w:name w:val="Unresolved Mention"/>
    <w:uiPriority w:val="99"/>
    <w:semiHidden/>
    <w:rsid w:val="00247C71"/>
    <w:rPr>
      <w:color w:val="auto"/>
      <w:shd w:val="clear" w:color="auto" w:fill="auto"/>
    </w:rPr>
  </w:style>
  <w:style w:type="character" w:styleId="a4">
    <w:name w:val="FollowedHyperlink"/>
    <w:uiPriority w:val="99"/>
    <w:semiHidden/>
    <w:rsid w:val="008F4D74"/>
    <w:rPr>
      <w:color w:val="auto"/>
      <w:u w:val="single"/>
    </w:rPr>
  </w:style>
  <w:style w:type="character" w:customStyle="1" w:styleId="rvts0">
    <w:name w:val="rvts0"/>
    <w:basedOn w:val="a0"/>
    <w:uiPriority w:val="99"/>
    <w:rsid w:val="002D6E9D"/>
  </w:style>
  <w:style w:type="character" w:customStyle="1" w:styleId="rvts9">
    <w:name w:val="rvts9"/>
    <w:basedOn w:val="a0"/>
    <w:uiPriority w:val="99"/>
    <w:rsid w:val="00883792"/>
  </w:style>
  <w:style w:type="character" w:customStyle="1" w:styleId="rvts23">
    <w:name w:val="rvts23"/>
    <w:basedOn w:val="a0"/>
    <w:uiPriority w:val="99"/>
    <w:rsid w:val="00546D75"/>
  </w:style>
  <w:style w:type="paragraph" w:styleId="HTML">
    <w:name w:val="HTML Preformatted"/>
    <w:basedOn w:val="a"/>
    <w:link w:val="HTML0"/>
    <w:uiPriority w:val="99"/>
    <w:semiHidden/>
    <w:rsid w:val="00DC6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semiHidden/>
    <w:locked/>
    <w:rsid w:val="00DC68D0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riodecl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5_2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64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389-19" TargetMode="External"/><Relationship Id="rId10" Type="http://schemas.openxmlformats.org/officeDocument/2006/relationships/hyperlink" Target="https://zakon.rada.gov.ua/laws/show/995_l61" TargetMode="External"/><Relationship Id="rId4" Type="http://schemas.openxmlformats.org/officeDocument/2006/relationships/hyperlink" Target="https://uk.wikipedia.org/wiki/%D0%A0%D0%B0%D0%BC%D0%BA%D0%BE%D0%B2%D0%B0_%D0%BA%D0%BE%D0%BD%D0%B2%D0%B5%D0%BD%D1%86%D1%96%D1%8F_%D0%9E%D0%9E%D0%9D_%D0%BF%D1%80%D0%BE_%D0%B7%D0%BC%D1%96%D0%BD%D1%83_%D0%BA%D0%BB%D1%96%D0%BC%D0%B0%D1%82%D1%83" TargetMode="External"/><Relationship Id="rId9" Type="http://schemas.openxmlformats.org/officeDocument/2006/relationships/hyperlink" Target="https://zakon.rada.gov.ua/laws/show/995_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novom2002@gmail.com</dc:creator>
  <cp:keywords/>
  <dc:description/>
  <cp:lastModifiedBy>User</cp:lastModifiedBy>
  <cp:revision>2</cp:revision>
  <cp:lastPrinted>2022-11-30T10:24:00Z</cp:lastPrinted>
  <dcterms:created xsi:type="dcterms:W3CDTF">2023-05-17T05:57:00Z</dcterms:created>
  <dcterms:modified xsi:type="dcterms:W3CDTF">2023-05-17T05:57:00Z</dcterms:modified>
</cp:coreProperties>
</file>