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BA" w:rsidRDefault="00CD5CBA">
      <w:pPr>
        <w:pStyle w:val="a4"/>
        <w:spacing w:line="240" w:lineRule="auto"/>
        <w:ind w:firstLine="0"/>
        <w:jc w:val="center"/>
        <w:rPr>
          <w:b/>
          <w:bCs/>
          <w:spacing w:val="-10"/>
          <w:sz w:val="27"/>
        </w:rPr>
      </w:pPr>
      <w:r>
        <w:rPr>
          <w:b/>
          <w:bCs/>
          <w:sz w:val="27"/>
        </w:rPr>
        <w:t xml:space="preserve">КОГНІТИВНИЙ ТА МОРАЛЬНИЙ РОЗВИТОК ОСОБИСТОСТІ: </w:t>
      </w:r>
      <w:r>
        <w:rPr>
          <w:b/>
          <w:bCs/>
          <w:spacing w:val="-10"/>
          <w:sz w:val="27"/>
        </w:rPr>
        <w:t>ГЕНДЕРНИЙ АНАЛІЗ У СОЦІАЛЬНО-ПСИХОЛОГІЧНИХ ДОСЛІДЖЕННЯХ</w:t>
      </w:r>
    </w:p>
    <w:p w:rsidR="00CD5CBA" w:rsidRDefault="00CD5CBA">
      <w:pPr>
        <w:pStyle w:val="a4"/>
        <w:ind w:firstLine="0"/>
        <w:jc w:val="both"/>
        <w:rPr>
          <w:b/>
          <w:bCs/>
          <w:i/>
          <w:iCs/>
          <w:sz w:val="27"/>
        </w:rPr>
      </w:pPr>
      <w:r>
        <w:rPr>
          <w:b/>
          <w:bCs/>
          <w:i/>
          <w:iCs/>
          <w:sz w:val="27"/>
        </w:rPr>
        <w:t>К.О.Кальницька</w:t>
      </w:r>
    </w:p>
    <w:p w:rsidR="00CD5CBA" w:rsidRDefault="00CD5CBA">
      <w:pPr>
        <w:pStyle w:val="a4"/>
        <w:rPr>
          <w:sz w:val="27"/>
        </w:rPr>
      </w:pPr>
    </w:p>
    <w:p w:rsidR="00CD5CBA" w:rsidRDefault="00CD5CBA">
      <w:pPr>
        <w:pStyle w:val="a4"/>
        <w:jc w:val="both"/>
        <w:rPr>
          <w:sz w:val="27"/>
        </w:rPr>
      </w:pPr>
      <w:r>
        <w:rPr>
          <w:sz w:val="27"/>
        </w:rPr>
        <w:t>У всі часи і у всіх культурах найпоширенішим способом класифікації людей є розподіл на чоловіків та жінок. Він настільки основоположний і всюдисущий, що його важливість не потребує доказів. Проте останнім часом люди стали звертати на такий розподіл більше уваги і ставити питання про його різні смислові аспекти. Ці запитання виникають як у соціальній психології, так і в інших психологічних науках.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 xml:space="preserve">Американський соціальний психолог Девід Майерс, вивчаючи психологічні особливості соціальних впливів, намалював фантастичну ситуацію: якщо інопланетяни будуть розглядати представників </w:t>
      </w:r>
      <w:r>
        <w:rPr>
          <w:sz w:val="27"/>
          <w:lang w:val="en-US"/>
        </w:rPr>
        <w:t>Homo</w:t>
      </w:r>
      <w:r>
        <w:rPr>
          <w:sz w:val="27"/>
        </w:rPr>
        <w:t xml:space="preserve"> </w:t>
      </w:r>
      <w:r>
        <w:rPr>
          <w:sz w:val="27"/>
          <w:lang w:val="en-US"/>
        </w:rPr>
        <w:t>sapiens</w:t>
      </w:r>
      <w:r>
        <w:rPr>
          <w:sz w:val="27"/>
        </w:rPr>
        <w:t xml:space="preserve"> різних статей, чи не візьмуть під сумнів вони приналежність їх до одного виду? Або ж, навпаки, будуть вражені глибокою схожістю, що прихована за зовнішніми відмінностями? [3]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Зараз соціальна диференціація стала, за словами історика Артура Шлезінгера (1991), “проблемою нашого століття, що розірвала тишу”.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Точка зору психологів на проблему гендерних відмінностей дуже важлива, оскільки вони фокусують увагу на нормах та ролях, що формують нашу поведінку як “маскулинну” чи “фемінінну”.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 xml:space="preserve">У результатах недавніх наукових дискусій було проведено чітке розмежування понять </w:t>
      </w:r>
      <w:r>
        <w:rPr>
          <w:b/>
          <w:bCs/>
          <w:sz w:val="27"/>
        </w:rPr>
        <w:t>стать і гендер</w:t>
      </w:r>
      <w:r>
        <w:rPr>
          <w:sz w:val="27"/>
        </w:rPr>
        <w:t xml:space="preserve">. Стать вказує на біологічний статус людини, говорячи про те, ким є дана особа - чоловіком або жінкою. Гендер, зі свого боку, вказує на соціально-психологічний статус людини з точки зору маскулинності та фемінінності. Саме тому культурні очікування і стереотипи, належні до маскулинної або фемінінної поведінки, називаються гендерними (а не статевими!) ролями. Таке розмежування не є жорстким правилом. Допускається пересікання даних категорій - адже більшість статевих </w:t>
      </w:r>
      <w:r>
        <w:rPr>
          <w:spacing w:val="-2"/>
          <w:sz w:val="27"/>
        </w:rPr>
        <w:t>відмінностей виникає за рахунок поєднання соціальних і біологічних</w:t>
      </w:r>
      <w:r>
        <w:rPr>
          <w:sz w:val="27"/>
        </w:rPr>
        <w:t xml:space="preserve"> факторів.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lastRenderedPageBreak/>
        <w:t>Все ж таки це розмежування дозволяє нам розглядати соціальні та біологічні фактори відокремлено і незалежно один від одного, а не обов</w:t>
      </w:r>
      <w:r>
        <w:rPr>
          <w:sz w:val="27"/>
        </w:rPr>
        <w:sym w:font="Symbol" w:char="F0A2"/>
      </w:r>
      <w:r>
        <w:rPr>
          <w:sz w:val="27"/>
        </w:rPr>
        <w:t>язково у тісному сплетінні. Бути жінкою ще не означає автоматично мати фемінінні характеристики, саме так і належати до чоловічої статі не тотожно маскулинності.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Для розуміння і пояснення суттєвих відмінностей між статями, необхідно з</w:t>
      </w:r>
      <w:r>
        <w:rPr>
          <w:sz w:val="27"/>
        </w:rPr>
        <w:sym w:font="Symbol" w:char="F0A2"/>
      </w:r>
      <w:r>
        <w:rPr>
          <w:sz w:val="27"/>
        </w:rPr>
        <w:t xml:space="preserve">ясувати </w:t>
      </w:r>
      <w:r>
        <w:rPr>
          <w:b/>
          <w:bCs/>
          <w:sz w:val="27"/>
        </w:rPr>
        <w:t xml:space="preserve">коли, у результаті чого і яким чином </w:t>
      </w:r>
      <w:r>
        <w:rPr>
          <w:sz w:val="27"/>
        </w:rPr>
        <w:t>виникають, формуються гендерні характеристики особистості?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 xml:space="preserve">На нашу думку, одним із важливих чинників формування гендера є </w:t>
      </w:r>
      <w:r>
        <w:rPr>
          <w:b/>
          <w:bCs/>
          <w:sz w:val="27"/>
        </w:rPr>
        <w:t>вплив диференційованої соціалізації на розвиток особистості чоловіка і жінки</w:t>
      </w:r>
      <w:r>
        <w:rPr>
          <w:sz w:val="27"/>
        </w:rPr>
        <w:t>. Психологи досить добре вивчили гендерні відмінності в розвитку особистості і когнітивній сфері. Мотивації, настанови, цінності та форми поведінки, які виробляються у дитини з раннього дитинства, у більшій мірі залежать від того, яким чином дана культура визначає ролі, які вона визнає за чоловіками і жінками. Ця диференціація відбувається відразу ж після народження, коли немовляті дають ім</w:t>
      </w:r>
      <w:r>
        <w:rPr>
          <w:sz w:val="27"/>
        </w:rPr>
        <w:sym w:font="Symbol" w:char="F0A2"/>
      </w:r>
      <w:r>
        <w:rPr>
          <w:sz w:val="27"/>
        </w:rPr>
        <w:t>я, вибирають одяг певного кольору. Таке “настроєння” на певну стать продовжується і у виборі зачіски, одягу дитини, її іграшок та різного роду розваг, в яких вона буде брати участь (</w:t>
      </w:r>
      <w:r>
        <w:rPr>
          <w:sz w:val="27"/>
          <w:lang w:val="en-US"/>
        </w:rPr>
        <w:t>Bandura</w:t>
      </w:r>
      <w:r>
        <w:rPr>
          <w:sz w:val="27"/>
        </w:rPr>
        <w:t>, 1969).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 xml:space="preserve">Спостереження показують, що на першому році життя дитини її взаємодії з батьками диференційовані за статевою ознакою. Батьки хлопчиків і батьки дівчаток відрізняються між собою за таким показником як частота умовних реакцій на поведінкові сигнали дитини. Наприклад, на голосові сигнали хлопчиків батьки з більшою вірогідністю контактують з дитиною, ніж на голосові сигнали дівчаток. Ці явні відмінності в умовному реагуванні, </w:t>
      </w:r>
      <w:r>
        <w:rPr>
          <w:spacing w:val="-4"/>
          <w:sz w:val="27"/>
        </w:rPr>
        <w:t>зазначені у немовлячому віці, продовжують існувати і у дитинстві (Дж.Блок)</w:t>
      </w:r>
      <w:r>
        <w:rPr>
          <w:sz w:val="27"/>
        </w:rPr>
        <w:t xml:space="preserve"> [5].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 xml:space="preserve">Багаточислені дослідження, проведені у різні вікові періоди, показують, що хлопчики отримують від батьків не тільки більше негативних відповідних реакцій, в тому числі тілесних покарань, а й позитивних підкріплень. Тому, цілком можливо, що </w:t>
      </w:r>
      <w:r>
        <w:rPr>
          <w:b/>
          <w:bCs/>
          <w:sz w:val="27"/>
        </w:rPr>
        <w:t xml:space="preserve">гендерні відмінності формуються у результаті </w:t>
      </w:r>
      <w:r>
        <w:rPr>
          <w:b/>
          <w:bCs/>
          <w:sz w:val="27"/>
        </w:rPr>
        <w:lastRenderedPageBreak/>
        <w:t xml:space="preserve">виховання дітей у різних соціальних контекстах. </w:t>
      </w:r>
      <w:r>
        <w:rPr>
          <w:sz w:val="27"/>
        </w:rPr>
        <w:t>Існує цілий ряд способів (як очевидних, так і неявних), за допомогою яких хлопчикам надається більше можливостей для самостійного рішення проблем і пізнання дійсності, в той час як над дівчатами здійснюється більш суворий контроль і їх досвід обмежується [5].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На думку Джина Блока, хлопчики і дівчата відчувають серйозний вплив цих соціальних контекстів, через які вони по-різному осмислюють оточуючий світ і користуються різними стратегіями при взаємодії з цим світом.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Отже, чоловіки і жінки виростають у суттєво різних психологічних контекстах. Ці контексти чинять рішучий вплив на наступне психологічне функціонування чоловіків і жінок.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В цілому, традиційно більшість культур орієнтовані на те, щоб чоловік був незалежним, впевненим у собі, динамічним, тим, хто знає свою справу і здатними до постійної конкуренції в плані соціальних і сексуальних стосунків. “Наша культура успіх віддає чоловікам”, - відзначала одна з перших видатних феміністок, Карен Хорні [6].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Що ж стосується жінки, то вона повинна бути пасивною, люблячою, емоційною і готовою до виконання значної ролі головним чином у сім</w:t>
      </w:r>
      <w:r>
        <w:rPr>
          <w:sz w:val="27"/>
        </w:rPr>
        <w:sym w:font="Symbol" w:char="F0A2"/>
      </w:r>
      <w:r>
        <w:rPr>
          <w:sz w:val="27"/>
        </w:rPr>
        <w:t>ї та у вихованні дітей.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У наш час ці уявлення у суспільстві змінюються: все більше жінок стверджують та реалізують себе поза сім</w:t>
      </w:r>
      <w:r>
        <w:rPr>
          <w:sz w:val="27"/>
        </w:rPr>
        <w:sym w:font="Symbol" w:char="F0A2"/>
      </w:r>
      <w:r>
        <w:rPr>
          <w:sz w:val="27"/>
        </w:rPr>
        <w:t>єю, як у інтелектуальному, так і у професійному плані, а від партнера вимагають розподілу з ними домашніх турбот. Тепер більшість дітей отримують менш чіткі і більш гнучкі уявлення про мужність і жіночність.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У зв</w:t>
      </w:r>
      <w:r>
        <w:rPr>
          <w:sz w:val="27"/>
        </w:rPr>
        <w:sym w:font="Symbol" w:char="F0A2"/>
      </w:r>
      <w:r>
        <w:rPr>
          <w:sz w:val="27"/>
        </w:rPr>
        <w:t xml:space="preserve">язку з цим цікавими представляються результати досліджень (В.О.Саламатов, К.О.Кальницька, 1997-1998), проведені на виборці жінок-педагогів, які підвищували свою професійну кваліфікацію в Українському інституті підвищення кваліфікації керівних кадрів освіти та в Чернігівському обласному інституті підвищення кваліфікації та перепідготовки працівників освіти (70 осіб). Чоловіча вибірка була представлена офіцерами, які </w:t>
      </w:r>
      <w:r>
        <w:rPr>
          <w:sz w:val="27"/>
        </w:rPr>
        <w:lastRenderedPageBreak/>
        <w:t>отримували другу освіту в Київському військово – гуманітарному інституті (70 осіб). Була використана методика Дж. Хофстеда “Ви і Ваші цінності”. Ця методика виявляла ціннісні орієнтації, як мотиваційні утворення, серед яких були і цінність жіночності або мужності [2]. Під даною цінністю розумівся культурний стереотип притаманний чоловікам та жінкам. Такі особистісні риси як співчуття, доброта, м</w:t>
      </w:r>
      <w:r>
        <w:rPr>
          <w:sz w:val="27"/>
        </w:rPr>
        <w:sym w:font="Symbol" w:char="F0A2"/>
      </w:r>
      <w:r>
        <w:rPr>
          <w:sz w:val="27"/>
        </w:rPr>
        <w:t>якість, ніжність пов</w:t>
      </w:r>
      <w:r>
        <w:rPr>
          <w:sz w:val="27"/>
        </w:rPr>
        <w:sym w:font="Symbol" w:char="F0A2"/>
      </w:r>
      <w:r>
        <w:rPr>
          <w:sz w:val="27"/>
        </w:rPr>
        <w:t xml:space="preserve">язувалися з цінністю жіночності, їх протилежний прояв з цінністю мужності [7]. При цьому допускалося, що зазначені риси можуть бути притаманні особам двох статей. Так, </w:t>
      </w:r>
      <w:r>
        <w:rPr>
          <w:b/>
          <w:bCs/>
          <w:sz w:val="27"/>
        </w:rPr>
        <w:t>цінність жіночності</w:t>
      </w:r>
      <w:r>
        <w:rPr>
          <w:sz w:val="27"/>
        </w:rPr>
        <w:t xml:space="preserve"> у чоловіків виражається у чутливості, м</w:t>
      </w:r>
      <w:r>
        <w:rPr>
          <w:sz w:val="27"/>
        </w:rPr>
        <w:sym w:font="Symbol" w:char="F0A2"/>
      </w:r>
      <w:r>
        <w:rPr>
          <w:sz w:val="27"/>
        </w:rPr>
        <w:t>якості, схильності до тривоги, ретельному самоаналізі і внутрішніх хвилюваннях. Такі чоловіки добре ладять з іншими людьми, здатні тонко відчувати відтінки між особистісних стосунків, тощо.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b/>
          <w:bCs/>
          <w:sz w:val="27"/>
        </w:rPr>
        <w:t>Цінність мужності</w:t>
      </w:r>
      <w:r>
        <w:rPr>
          <w:sz w:val="27"/>
        </w:rPr>
        <w:t xml:space="preserve"> у чоловіків відображена незалежністю, реалістичністю, раціональністю, практичністю. Чоловіки з перевагою цієї цінності мало фантазують у справі, діють згідно з логікою.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b/>
          <w:bCs/>
          <w:sz w:val="27"/>
        </w:rPr>
        <w:t>Цінність мужності</w:t>
      </w:r>
      <w:r>
        <w:rPr>
          <w:sz w:val="27"/>
        </w:rPr>
        <w:t xml:space="preserve"> у жінок (ідентифікація з чоловіками) проявляється в рішучості, сміливості, схильності до ризику і пригод. Таких жінок характеризує тверезий розум, несентиментальність. Для розв</w:t>
      </w:r>
      <w:r>
        <w:rPr>
          <w:sz w:val="27"/>
        </w:rPr>
        <w:sym w:font="Symbol" w:char="F0A2"/>
      </w:r>
      <w:r>
        <w:rPr>
          <w:sz w:val="27"/>
        </w:rPr>
        <w:t>язання проблем вони покладаються на силу, нехтуючи тонкощами і відтінками почуттів [4,2].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Результати дослідження були несподіваними. Високі оцінки за шкалою мужності продемонстрували жінки. Це вказувало на наявність у них чоловічих рис характеру. Низькі оцінки цієї цінності у порівнянні з жінками (оцінювалися середні значення, при р&lt;0,05) отримали чоловіки, тобто вони надавали перевагу цінності жіночності, натомість жінки - цінності мужності.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Інтерпретуючи результати дослідження, ми дійшли висновку: отриманий дисбаланс - маскулинність жінок-педагогів та фемінінність чоловіків-офіцерів, можна пояснити особливостями соціально-економічної ситуації у суспільстві, національними рисами характеру українських жінок, певними професійними деформаціями, пов</w:t>
      </w:r>
      <w:r>
        <w:rPr>
          <w:sz w:val="27"/>
        </w:rPr>
        <w:sym w:font="Symbol" w:char="F0A2"/>
      </w:r>
      <w:r>
        <w:rPr>
          <w:sz w:val="27"/>
        </w:rPr>
        <w:t xml:space="preserve">язаними з педагогічною діяльністю, та, насамперед, підсиленням процесів фемінізації в сучасному </w:t>
      </w:r>
      <w:r>
        <w:rPr>
          <w:sz w:val="27"/>
        </w:rPr>
        <w:lastRenderedPageBreak/>
        <w:t>суспільстві. В цілому ми констатували явище андрогінії у деяких респондентів, тобто, присутність маскулинних та фемінінних рис у кожного індивіда вибірки.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Когнітивний розвиток особистості тісно пов</w:t>
      </w:r>
      <w:r>
        <w:rPr>
          <w:sz w:val="27"/>
        </w:rPr>
        <w:sym w:font="Symbol" w:char="F0A2"/>
      </w:r>
      <w:r>
        <w:rPr>
          <w:sz w:val="27"/>
        </w:rPr>
        <w:t>язаний з моральним. Вивчення моральної свідомості людини з урахуванням гендерних відмінностей виявилося результативним як у змістовому, так і формальному аспектах</w:t>
      </w:r>
      <w:r>
        <w:rPr>
          <w:sz w:val="27"/>
          <w:lang w:val="ru-RU"/>
        </w:rPr>
        <w:t xml:space="preserve"> [</w:t>
      </w:r>
      <w:r>
        <w:rPr>
          <w:sz w:val="27"/>
        </w:rPr>
        <w:t>8</w:t>
      </w:r>
      <w:r>
        <w:rPr>
          <w:sz w:val="27"/>
          <w:lang w:val="ru-RU"/>
        </w:rPr>
        <w:t>]</w:t>
      </w:r>
      <w:r>
        <w:rPr>
          <w:sz w:val="27"/>
        </w:rPr>
        <w:t>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Різне розуміння рівнів та критеріїв моральності в своїх теоріях продемонстрували вчені-психологи: чоловік і жінка. Так, Л. Кольберг вивчав моральний розвиток дитини. Його висновки заперечила Керол Гілліган, яка відстоювала точку зору, згідно якої концепції моральності у чоловіків і жінок неоднакові. Гілліган докоряла Кольбергу за те, що він створив систему “чоловічих” моральних цінностей, що грунтуються на самоствердженні та справедливості, і без уваги залишив моральність “жіночу”, орієнтовану більше на піклування про іншого і самозречення; таким чином за концепцією Кольберга жінки не досягають і половинного рівня розвитку моральності.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Різні принципи моральності чоловіків і жінок Гілліган ілюструє, наводячи два епізоди із Біблії. Так, щоб довести Богу свою відданість, Авраам готов принести йому в жертву власного сина. В іншому епізоді, навпаки, матір воліє уступити свою дитину суперниці, коли цар Соломон, регулюючи суперечку між ними за дитину, пропонує розрізати її навпіл.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Жіноча концепція моральності (за Гілліган) передбачає, що судячи вчинок, жінка скоріше керується не принципами, а уявленнями про особистість того, хто конкретно здійснив даний вчинок. Тому вона більш схильна вважати людину, яка піклується про інших, “доброю”, а той, хто своєю поведінкою чинить їм зло, - “егоїстом” [1]. Отже, у своєму моральному розвитку жінка проходить шлях від самопіклування, самозречення, самопожертвування до самоповаги. Цей шлях корінним чином відрізняється від того, що притаманний чоловічої статі.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</w:p>
    <w:p w:rsidR="00CD5CBA" w:rsidRDefault="00CD5CBA">
      <w:pPr>
        <w:pStyle w:val="a3"/>
        <w:spacing w:line="360" w:lineRule="auto"/>
        <w:ind w:firstLine="708"/>
        <w:rPr>
          <w:sz w:val="27"/>
          <w:lang w:val="ru-RU"/>
        </w:rPr>
      </w:pPr>
      <w:r>
        <w:rPr>
          <w:sz w:val="27"/>
        </w:rPr>
        <w:lastRenderedPageBreak/>
        <w:t>Висновки.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1. Незаперечним є факт: відмінності між статями проявляються не тільки у фізіологічних, фізичних характеристиках, а й особливим чином у психологічних.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2. Психологічний розвиток чоловіків і жінок відбувається в суттєво різних психологічних контекстах. Ці контексти рішуче впливають на подальше психічне функціонування особистостей різної статі.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3. Диференційована за статевою ознакою соціалізація і “формуюча” поведінка батьків впливають на хлопчиків і дівчаток, здійснюючи значне діяння на глибинні структури їх когнітивного та морального розвитку.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4. Приєднуючись до думки видатного психолога Карен Хорні, яка висунула свою теорію психології жінки, на жаль, треба визнати: нашій культурі притаманна віра у чоловічу вищість у всьому, крім кохання.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На щастя, у сучасному суспільстві відбуваються стрімкі зміни у рольовій поведінці і стосунках між статями. Будемо вітати ці зміни!</w:t>
      </w:r>
    </w:p>
    <w:p w:rsidR="00CD5CBA" w:rsidRDefault="00CD5CBA">
      <w:pPr>
        <w:pStyle w:val="a3"/>
        <w:spacing w:line="360" w:lineRule="auto"/>
        <w:ind w:firstLine="708"/>
        <w:jc w:val="center"/>
        <w:rPr>
          <w:b/>
          <w:bCs/>
          <w:sz w:val="27"/>
          <w:u w:val="single"/>
        </w:rPr>
      </w:pPr>
    </w:p>
    <w:p w:rsidR="00CD5CBA" w:rsidRDefault="00CD5CBA">
      <w:pPr>
        <w:pStyle w:val="a3"/>
        <w:spacing w:line="360" w:lineRule="auto"/>
        <w:ind w:firstLine="708"/>
        <w:jc w:val="center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>Інформаційні джерела: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1. Годфруа Ж. Что такое психология: В 2т.: Пер.с франц. - М.: Мир, 1992. - Т 2.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2. Кальницька К.О. Мотивація підвищення професійної кваліфікації педагога: Дис. ... канд. психол. наук. - К., - 1999.</w:t>
      </w:r>
    </w:p>
    <w:p w:rsidR="00CD5CBA" w:rsidRDefault="00CD5CBA">
      <w:pPr>
        <w:pStyle w:val="a3"/>
        <w:spacing w:line="360" w:lineRule="auto"/>
        <w:ind w:firstLine="708"/>
        <w:rPr>
          <w:sz w:val="27"/>
          <w:lang w:val="ru-RU"/>
        </w:rPr>
      </w:pPr>
      <w:r>
        <w:rPr>
          <w:spacing w:val="-2"/>
          <w:sz w:val="27"/>
        </w:rPr>
        <w:t>3. Майерс Д. Соц</w:t>
      </w:r>
      <w:r>
        <w:rPr>
          <w:spacing w:val="-2"/>
          <w:sz w:val="27"/>
          <w:lang w:val="ru-RU"/>
        </w:rPr>
        <w:t>иальная психология: Пер. с англ, Спб: Питер Ком,</w:t>
      </w:r>
      <w:r>
        <w:rPr>
          <w:sz w:val="27"/>
          <w:lang w:val="ru-RU"/>
        </w:rPr>
        <w:t xml:space="preserve"> 1998.</w:t>
      </w:r>
    </w:p>
    <w:p w:rsidR="00CD5CBA" w:rsidRDefault="00CD5CBA">
      <w:pPr>
        <w:pStyle w:val="a3"/>
        <w:spacing w:line="360" w:lineRule="auto"/>
        <w:ind w:firstLine="708"/>
        <w:rPr>
          <w:sz w:val="27"/>
          <w:lang w:val="ru-RU"/>
        </w:rPr>
      </w:pPr>
      <w:r>
        <w:rPr>
          <w:sz w:val="27"/>
          <w:lang w:val="ru-RU"/>
        </w:rPr>
        <w:t>4. Мельников В.М., Ямпольский Л.Т. Введение в экспериментальную психологию личности. - М.: Просвещение, 1985.</w:t>
      </w:r>
    </w:p>
    <w:p w:rsidR="00CD5CBA" w:rsidRDefault="00CD5CBA">
      <w:pPr>
        <w:pStyle w:val="a3"/>
        <w:spacing w:line="360" w:lineRule="auto"/>
        <w:ind w:firstLine="708"/>
        <w:rPr>
          <w:sz w:val="27"/>
          <w:lang w:val="ru-RU"/>
        </w:rPr>
      </w:pPr>
      <w:r>
        <w:rPr>
          <w:sz w:val="27"/>
          <w:lang w:val="ru-RU"/>
        </w:rPr>
        <w:t>5. Пайнс Э., Маслач К. Практикум по социальной психологии. - Спб: Питер, 2000.</w:t>
      </w:r>
    </w:p>
    <w:p w:rsidR="00CD5CBA" w:rsidRDefault="00CD5CBA">
      <w:pPr>
        <w:pStyle w:val="a3"/>
        <w:spacing w:line="360" w:lineRule="auto"/>
        <w:ind w:firstLine="708"/>
        <w:rPr>
          <w:sz w:val="27"/>
          <w:lang w:val="ru-RU"/>
        </w:rPr>
      </w:pPr>
      <w:r>
        <w:rPr>
          <w:sz w:val="27"/>
          <w:lang w:val="ru-RU"/>
        </w:rPr>
        <w:t>6. Хорни К. Самоанализ: Пер. с англ. Под ред. А. Боковикова - М.: ЭКСМО-Пресс, 2001. - (Серия «Психол. коллекция»)</w:t>
      </w:r>
    </w:p>
    <w:p w:rsidR="00CD5CBA" w:rsidRDefault="00CD5CBA">
      <w:pPr>
        <w:pStyle w:val="a3"/>
        <w:spacing w:line="360" w:lineRule="auto"/>
        <w:ind w:firstLine="708"/>
        <w:rPr>
          <w:sz w:val="27"/>
          <w:u w:val="single"/>
          <w:lang w:val="ru-RU"/>
        </w:rPr>
      </w:pPr>
      <w:r>
        <w:rPr>
          <w:sz w:val="27"/>
          <w:lang w:val="ru-RU"/>
        </w:rPr>
        <w:t>7. Хьелл Л., Зиглер Д. Теории личности. - Спб.: Питер Прес, 1997.</w:t>
      </w:r>
    </w:p>
    <w:p w:rsidR="00CD5CBA" w:rsidRDefault="00CD5CBA">
      <w:pPr>
        <w:pStyle w:val="a3"/>
        <w:spacing w:line="360" w:lineRule="auto"/>
        <w:ind w:firstLine="708"/>
        <w:rPr>
          <w:sz w:val="27"/>
          <w:u w:val="single"/>
          <w:lang w:val="ru-RU"/>
        </w:rPr>
      </w:pPr>
    </w:p>
    <w:p w:rsidR="00CD5CBA" w:rsidRDefault="00CD5CBA">
      <w:pPr>
        <w:pStyle w:val="a3"/>
        <w:spacing w:line="360" w:lineRule="auto"/>
        <w:ind w:firstLine="708"/>
        <w:jc w:val="center"/>
        <w:rPr>
          <w:b/>
          <w:bCs/>
          <w:sz w:val="27"/>
        </w:rPr>
      </w:pPr>
      <w:r>
        <w:rPr>
          <w:b/>
          <w:bCs/>
          <w:sz w:val="27"/>
        </w:rPr>
        <w:lastRenderedPageBreak/>
        <w:t>Довідка про автора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b/>
          <w:bCs/>
          <w:sz w:val="27"/>
        </w:rPr>
        <w:t>Кальницька Катерина Олексіївна:</w:t>
      </w:r>
      <w:r>
        <w:rPr>
          <w:sz w:val="27"/>
        </w:rPr>
        <w:t xml:space="preserve"> кандидат психологічних наук, доцент кафедри соціології і психології Чернігівського державного інституту економіки і управління.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Чернігів, вул.Войкова,13, кв.102.</w:t>
      </w:r>
    </w:p>
    <w:p w:rsidR="00CD5CBA" w:rsidRDefault="00CD5CBA">
      <w:pPr>
        <w:pStyle w:val="a3"/>
        <w:spacing w:line="360" w:lineRule="auto"/>
        <w:ind w:firstLine="708"/>
        <w:rPr>
          <w:sz w:val="27"/>
        </w:rPr>
      </w:pPr>
      <w:r>
        <w:rPr>
          <w:sz w:val="27"/>
        </w:rPr>
        <w:t>Контактний телефон:</w:t>
      </w:r>
      <w:r w:rsidR="00705444">
        <w:rPr>
          <w:sz w:val="27"/>
        </w:rPr>
        <w:t xml:space="preserve"> (8-0462)-</w:t>
      </w:r>
      <w:r>
        <w:rPr>
          <w:sz w:val="27"/>
        </w:rPr>
        <w:t>165-131</w:t>
      </w:r>
    </w:p>
    <w:sectPr w:rsidR="00CD5CBA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87" w:rsidRDefault="00420787">
      <w:r>
        <w:separator/>
      </w:r>
    </w:p>
  </w:endnote>
  <w:endnote w:type="continuationSeparator" w:id="1">
    <w:p w:rsidR="00420787" w:rsidRDefault="0042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BA" w:rsidRDefault="00CD5C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5CBA" w:rsidRDefault="00CD5C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BA" w:rsidRDefault="00CD5C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45AE">
      <w:rPr>
        <w:rStyle w:val="a6"/>
        <w:noProof/>
      </w:rPr>
      <w:t>1</w:t>
    </w:r>
    <w:r>
      <w:rPr>
        <w:rStyle w:val="a6"/>
      </w:rPr>
      <w:fldChar w:fldCharType="end"/>
    </w:r>
  </w:p>
  <w:p w:rsidR="00CD5CBA" w:rsidRDefault="00CD5C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87" w:rsidRDefault="00420787">
      <w:r>
        <w:separator/>
      </w:r>
    </w:p>
  </w:footnote>
  <w:footnote w:type="continuationSeparator" w:id="1">
    <w:p w:rsidR="00420787" w:rsidRDefault="00420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44"/>
    <w:rsid w:val="0032304E"/>
    <w:rsid w:val="00420787"/>
    <w:rsid w:val="00701969"/>
    <w:rsid w:val="00705444"/>
    <w:rsid w:val="00CD5CBA"/>
    <w:rsid w:val="00D2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lang w:val="uk-UA"/>
    </w:rPr>
  </w:style>
  <w:style w:type="paragraph" w:styleId="a4">
    <w:name w:val="Body Text Indent"/>
    <w:basedOn w:val="a"/>
    <w:pPr>
      <w:spacing w:line="360" w:lineRule="auto"/>
      <w:ind w:firstLine="708"/>
    </w:pPr>
    <w:rPr>
      <w:sz w:val="26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Когнітивний  та моральний розвиток особистості: гендерний аналіз у соціально-психологічних дослідженнях</vt:lpstr>
    </vt:vector>
  </TitlesOfParts>
  <Company>2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Когнітивний  та моральний розвиток особистості: гендерний аналіз у соціально-психологічних дослідженнях</dc:title>
  <dc:subject/>
  <dc:creator>1</dc:creator>
  <cp:keywords/>
  <cp:lastModifiedBy>User</cp:lastModifiedBy>
  <cp:revision>2</cp:revision>
  <cp:lastPrinted>2001-11-08T12:58:00Z</cp:lastPrinted>
  <dcterms:created xsi:type="dcterms:W3CDTF">2016-03-18T09:58:00Z</dcterms:created>
  <dcterms:modified xsi:type="dcterms:W3CDTF">2016-03-18T09:58:00Z</dcterms:modified>
</cp:coreProperties>
</file>